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  <w:r w:rsidRPr="00471BCF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833743" wp14:editId="25EBE52D">
            <wp:simplePos x="0" y="0"/>
            <wp:positionH relativeFrom="margin">
              <wp:align>center</wp:align>
            </wp:positionH>
            <wp:positionV relativeFrom="paragraph">
              <wp:posOffset>-167309</wp:posOffset>
            </wp:positionV>
            <wp:extent cx="2371725" cy="815057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</w:p>
    <w:p w:rsid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</w:p>
    <w:p w:rsidR="00B03B04" w:rsidRDefault="00BE27B3" w:rsidP="00B03B04">
      <w:pPr>
        <w:widowControl/>
        <w:shd w:val="clear" w:color="auto" w:fill="FFFFFF"/>
        <w:autoSpaceDE/>
        <w:autoSpaceDN/>
        <w:spacing w:line="36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  <w:t>Изменения 2022. Что нас ждет с 1 января в сфере недвижимости?</w:t>
      </w:r>
    </w:p>
    <w:p w:rsid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</w:p>
    <w:p w:rsidR="00BE27B3" w:rsidRPr="00B03B04" w:rsidRDefault="00BE27B3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outlineLvl w:val="0"/>
        <w:rPr>
          <w:rFonts w:ascii="Tahoma" w:eastAsia="Times New Roman" w:hAnsi="Tahoma" w:cs="Tahoma"/>
          <w:b/>
          <w:kern w:val="36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>Изменения в сфере оформления недвижимости, которые будут действовать с 01.01.2022</w:t>
      </w:r>
      <w:r w:rsidR="00700FD3"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 так или иначе</w:t>
      </w: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 коснуться всех без исключения граждан, имеющих объекты недвижимости. </w:t>
      </w:r>
    </w:p>
    <w:p w:rsidR="00BE27B3" w:rsidRPr="00B03B04" w:rsidRDefault="00BE27B3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autoSpaceDE/>
        <w:autoSpaceDN/>
        <w:spacing w:before="0" w:line="360" w:lineRule="auto"/>
        <w:ind w:left="0" w:firstLine="567"/>
        <w:textAlignment w:val="baseline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Впервые, во всех субъектах России одновременно пройдет </w:t>
      </w:r>
      <w:hyperlink r:id="rId6" w:history="1">
        <w:r w:rsidRPr="00B03B04">
          <w:rPr>
            <w:rStyle w:val="a7"/>
            <w:rFonts w:ascii="Tahoma" w:hAnsi="Tahoma" w:cs="Tahoma"/>
            <w:bCs/>
            <w:color w:val="auto"/>
            <w:sz w:val="20"/>
            <w:szCs w:val="20"/>
            <w:u w:val="none"/>
            <w:shd w:val="clear" w:color="auto" w:fill="FFFFFF"/>
          </w:rPr>
          <w:t>массовая государственная кадастровая оценка всех земельных участков</w:t>
        </w:r>
      </w:hyperlink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, не зависимо от категории.  </w:t>
      </w:r>
      <w:r w:rsidRPr="00B03B04">
        <w:rPr>
          <w:rFonts w:ascii="Tahoma" w:hAnsi="Tahoma" w:cs="Tahoma"/>
          <w:sz w:val="20"/>
          <w:szCs w:val="20"/>
          <w:shd w:val="clear" w:color="auto" w:fill="FFFFFF"/>
        </w:rPr>
        <w:t xml:space="preserve">Ранее кадастровая оценка проходила один раз в четыре года, но было решено, что в 2022 году проведут ее одновременно во всей стране. </w:t>
      </w:r>
    </w:p>
    <w:p w:rsidR="004A0F32" w:rsidRDefault="004A0F32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>Для того, чтобы оценка была достоверной и справедливой, Росреестр рекомендует гражданам и юридическим лицам удостовериться, что данные, содержащиеся в ЕГРН по их земельным участкам, актуальные.</w:t>
      </w:r>
    </w:p>
    <w:p w:rsidR="00B03B04" w:rsidRP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</w:p>
    <w:p w:rsidR="00F67772" w:rsidRPr="00B03B04" w:rsidRDefault="00F67772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spacing w:before="0" w:line="360" w:lineRule="auto"/>
        <w:ind w:left="0" w:firstLine="567"/>
        <w:textAlignment w:val="baseline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>Физлицам не нужно будет сдавать декларации 3-НДФЛ при продаже недорогой недвижимости</w:t>
      </w:r>
      <w:r w:rsidR="00E93859"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. </w:t>
      </w:r>
    </w:p>
    <w:p w:rsidR="00E93859" w:rsidRPr="00B03B04" w:rsidRDefault="00E93859" w:rsidP="00B03B04">
      <w:pPr>
        <w:widowControl/>
        <w:shd w:val="clear" w:color="auto" w:fill="FFFFFF"/>
        <w:autoSpaceDE/>
        <w:autoSpaceDN/>
        <w:spacing w:line="360" w:lineRule="auto"/>
        <w:ind w:right="-75"/>
        <w:jc w:val="both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Сегодня п</w:t>
      </w:r>
      <w:r w:rsidR="0040715E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ри продаже дома, 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земельного участка, </w:t>
      </w:r>
      <w:r w:rsidR="0040715E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квартиры или другой 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недвижимости, которая была в собственности меньше минимального срока владения</w:t>
      </w:r>
      <w:r w:rsidR="0040715E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 (3 года)</w:t>
      </w:r>
      <w:r w:rsidR="00533796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, продавец обязан 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задекларировать полученный доход и сдать декларацию по форме 3-НДФЛ.</w:t>
      </w:r>
    </w:p>
    <w:p w:rsidR="00E93859" w:rsidRPr="00B03B04" w:rsidRDefault="00E93859" w:rsidP="00B03B04">
      <w:pPr>
        <w:widowControl/>
        <w:shd w:val="clear" w:color="auto" w:fill="FFFFFF"/>
        <w:autoSpaceDE/>
        <w:autoSpaceDN/>
        <w:spacing w:line="360" w:lineRule="auto"/>
        <w:ind w:right="-75" w:firstLine="567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С </w:t>
      </w:r>
      <w:r w:rsidR="0040715E"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нового года можно </w:t>
      </w:r>
      <w:r w:rsidRPr="00B03B04">
        <w:rPr>
          <w:rFonts w:ascii="Tahoma" w:eastAsia="Times New Roman" w:hAnsi="Tahoma" w:cs="Tahoma"/>
          <w:kern w:val="36"/>
          <w:sz w:val="20"/>
          <w:szCs w:val="20"/>
          <w:lang w:eastAsia="ru-RU"/>
        </w:rPr>
        <w:t xml:space="preserve">не отражать доходы от продажи имущества, </w:t>
      </w:r>
      <w:r w:rsidR="002A18C3" w:rsidRPr="00B03B04">
        <w:rPr>
          <w:rFonts w:ascii="Tahoma" w:eastAsia="Times New Roman" w:hAnsi="Tahoma" w:cs="Tahoma"/>
          <w:sz w:val="20"/>
          <w:szCs w:val="20"/>
          <w:lang w:eastAsia="ru-RU"/>
        </w:rPr>
        <w:t>кото</w:t>
      </w:r>
      <w:r w:rsidR="0040715E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рая была в собственности меньше данного </w:t>
      </w:r>
      <w:r w:rsidR="002A18C3" w:rsidRPr="00B03B04">
        <w:rPr>
          <w:rFonts w:ascii="Tahoma" w:eastAsia="Times New Roman" w:hAnsi="Tahoma" w:cs="Tahoma"/>
          <w:sz w:val="20"/>
          <w:szCs w:val="20"/>
          <w:lang w:eastAsia="ru-RU"/>
        </w:rPr>
        <w:t>срока владения, если доходы от продажи полностью покрыв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аются имущественным вычетом в: </w:t>
      </w:r>
    </w:p>
    <w:p w:rsidR="00E93859" w:rsidRPr="00B03B04" w:rsidRDefault="00E93859" w:rsidP="00B03B0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567" w:right="-75" w:firstLine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1 млн руб. – при продаже жилых домов, квартир, комнат, садовых домов, земельных участков (долей в перечисленной недвижимости);</w:t>
      </w:r>
    </w:p>
    <w:p w:rsidR="00E93859" w:rsidRPr="00B03B04" w:rsidRDefault="00E93859" w:rsidP="00B03B04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ind w:left="567" w:right="-75" w:firstLine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250 000 руб. – при продаже иных объектов недвижимости (например, гаража).</w:t>
      </w:r>
    </w:p>
    <w:p w:rsidR="00B03B04" w:rsidRDefault="0040715E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Простым языком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, если вычет полностью покрыл полученный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 доход от продажи недвижимости, то 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и НДФЛ к уплате нет.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 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При этом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, в </w:t>
      </w:r>
      <w:r w:rsidRPr="00B03B04">
        <w:rPr>
          <w:rFonts w:ascii="Tahoma" w:hAnsi="Tahoma" w:cs="Tahoma"/>
          <w:sz w:val="20"/>
          <w:szCs w:val="20"/>
          <w:bdr w:val="none" w:sz="0" w:space="0" w:color="auto" w:frame="1"/>
          <w:lang w:eastAsia="ru-RU"/>
        </w:rPr>
        <w:t>соответствии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03B04">
        <w:rPr>
          <w:rFonts w:ascii="Tahoma" w:hAnsi="Tahoma" w:cs="Tahoma"/>
          <w:sz w:val="20"/>
          <w:szCs w:val="20"/>
          <w:bdr w:val="none" w:sz="0" w:space="0" w:color="auto" w:frame="1"/>
          <w:lang w:eastAsia="ru-RU"/>
        </w:rPr>
        <w:t xml:space="preserve">с </w:t>
      </w:r>
      <w:hyperlink r:id="rId7" w:history="1"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  <w:bdr w:val="none" w:sz="0" w:space="0" w:color="auto" w:frame="1"/>
            <w:lang w:eastAsia="ru-RU"/>
          </w:rPr>
          <w:t>Федеральным</w:t>
        </w:r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 xml:space="preserve"> законом от 02.07.2021 № 305-ФЗ «О внесении изменений в части первую и вторую Налогового кодекса Российской Федерации</w:t>
        </w:r>
        <w:r w:rsidR="00405E12"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</w:rPr>
          <w:t>»</w:t>
        </w:r>
      </w:hyperlink>
      <w:r w:rsidR="00405E12" w:rsidRPr="00B03B04">
        <w:rPr>
          <w:rFonts w:ascii="Tahoma" w:hAnsi="Tahoma" w:cs="Tahoma"/>
          <w:sz w:val="20"/>
          <w:szCs w:val="20"/>
        </w:rPr>
        <w:t xml:space="preserve"> 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при определении доходов от продажи </w:t>
      </w:r>
      <w:r w:rsidR="002A18C3" w:rsidRPr="00B03B04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lang w:eastAsia="ru-RU"/>
        </w:rPr>
        <w:t>недвижимости, которая была в собственности меньше минимального срока владения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, нужно обращать </w:t>
      </w:r>
      <w:r w:rsidR="002A18C3" w:rsidRPr="00B03B04">
        <w:rPr>
          <w:rFonts w:ascii="Tahoma" w:eastAsia="Times New Roman" w:hAnsi="Tahoma" w:cs="Tahoma"/>
          <w:bCs/>
          <w:sz w:val="20"/>
          <w:szCs w:val="20"/>
          <w:bdr w:val="none" w:sz="0" w:space="0" w:color="auto" w:frame="1"/>
          <w:lang w:eastAsia="ru-RU"/>
        </w:rPr>
        <w:t>внимание на кадастровую стоимость продаваемого объекта</w:t>
      </w:r>
      <w:r w:rsidR="002A18C3"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. Так как если продается объект недвижимости, приобретенный после 01.01.2016, и сумма дохода от его продажи меньше, чем его кадастровая стоимость, умноженная на понижающий коэффициент 0,7, то доход от продажи принимается равным умноженной на коэффициент 0,7 кадастровой стоимости недвижимости.</w:t>
      </w:r>
    </w:p>
    <w:p w:rsidR="002A18C3" w:rsidRPr="00B03B04" w:rsidRDefault="002A18C3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</w:pP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Например, в 2021 году 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Вы 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за 1 млн руб. продал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и квартиру, которая досталась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по наследству в этом же году. Кадастровая стоимость квартиры на 01.01.2021 – 2,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5 млн руб. При расчете налога Вы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может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е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применить и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мущественный вычет в 1 млн </w:t>
      </w:r>
      <w:proofErr w:type="gramStart"/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руб..</w:t>
      </w:r>
      <w:proofErr w:type="gramEnd"/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Налогооблагаемая сумма дохода составила 750 000 руб. (2 500 000 руб. x 0,7 </w:t>
      </w:r>
      <w:r w:rsidRPr="00B03B0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ru-RU"/>
        </w:rPr>
        <w:t>–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> 1 000 000 руб.). Таким образом, несмотря на то что квартира была продана за 1 млн руб., декларацию подать нужно, так как</w:t>
      </w:r>
      <w:r w:rsidR="00405E12"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полученный</w:t>
      </w:r>
      <w:r w:rsidRPr="00B03B04">
        <w:rPr>
          <w:rFonts w:ascii="Tahoma" w:eastAsia="Times New Roman" w:hAnsi="Tahoma" w:cs="Tahoma"/>
          <w:i/>
          <w:iCs/>
          <w:sz w:val="20"/>
          <w:szCs w:val="20"/>
          <w:bdr w:val="none" w:sz="0" w:space="0" w:color="auto" w:frame="1"/>
          <w:lang w:eastAsia="ru-RU"/>
        </w:rPr>
        <w:t xml:space="preserve"> вычет не смог покрыть доход, рассчитанный исходя из кадастровой стоимости с применением понижающего коэффициента 0,7.</w:t>
      </w:r>
    </w:p>
    <w:p w:rsidR="002A18C3" w:rsidRPr="00B03B04" w:rsidRDefault="002A18C3" w:rsidP="00B03B0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60717" w:rsidRPr="00B03B04" w:rsidRDefault="00405E12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autoSpaceDE/>
        <w:autoSpaceDN/>
        <w:spacing w:before="0" w:line="360" w:lineRule="auto"/>
        <w:ind w:left="0" w:firstLine="567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Б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удет расширен перечень основных сведений, включаемых в 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Единый государственный реестр недвижимости (Далее – ЕГРН)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560717" w:rsidRPr="00B03B04" w:rsidRDefault="00405E12" w:rsidP="00B03B04">
      <w:pPr>
        <w:pStyle w:val="a5"/>
        <w:widowControl/>
        <w:shd w:val="clear" w:color="auto" w:fill="FFFFFF"/>
        <w:autoSpaceDE/>
        <w:autoSpaceDN/>
        <w:spacing w:before="0" w:line="360" w:lineRule="auto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С 01.01.2022 начнут вносить 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полную информацию о каждом кадастровом инженере, осуществляющим 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государственный 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>кадастр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овый учет объекта недвижимости (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>уникальный номер в реестре саморегулируемой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организации и ее наименование, СНИЛС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>, номера и даты заключения договоров на выполнение работ, дату их завершения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="00560717" w:rsidRPr="00B03B0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533796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Заказа выписку из ЕГРН, вы увидите кто проводил кадастровые работы. </w:t>
      </w:r>
    </w:p>
    <w:p w:rsidR="00405E12" w:rsidRPr="00B03B04" w:rsidRDefault="00405E12" w:rsidP="00B03B04">
      <w:pPr>
        <w:pStyle w:val="a5"/>
        <w:widowControl/>
        <w:shd w:val="clear" w:color="auto" w:fill="FFFFFF"/>
        <w:autoSpaceDE/>
        <w:autoSpaceDN/>
        <w:spacing w:before="0" w:line="360" w:lineRule="auto"/>
        <w:ind w:left="0" w:firstLine="567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А с 01.02.2022, в соответствии с </w:t>
      </w:r>
      <w:hyperlink r:id="rId8" w:history="1">
        <w:r w:rsidRPr="00B03B04">
          <w:rPr>
            <w:rStyle w:val="a7"/>
            <w:rFonts w:ascii="Tahoma" w:eastAsia="Times New Roman" w:hAnsi="Tahoma" w:cs="Tahoma"/>
            <w:color w:val="auto"/>
            <w:sz w:val="20"/>
            <w:szCs w:val="20"/>
            <w:u w:val="none"/>
            <w:lang w:eastAsia="ru-RU"/>
          </w:rPr>
          <w:t>Федеральным законом от 26.05.2021 № 148-ФЗ</w:t>
        </w:r>
      </w:hyperlink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, будут вносить сведения об аварийности многоквартирных домов. Если дом или квартира признается аварийным, подлежащим сносу или реконструкции, а также непригодным для проживания, это должно обязательно отражаться в сведениях ЕГРН. </w:t>
      </w:r>
    </w:p>
    <w:p w:rsidR="00533796" w:rsidRPr="00B03B04" w:rsidRDefault="00533796" w:rsidP="00B03B04">
      <w:pPr>
        <w:pStyle w:val="a5"/>
        <w:widowControl/>
        <w:shd w:val="clear" w:color="auto" w:fill="FFFFFF"/>
        <w:autoSpaceDE/>
        <w:autoSpaceDN/>
        <w:spacing w:before="0" w:line="360" w:lineRule="auto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672B6" w:rsidRPr="00B03B04" w:rsidRDefault="00405E12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spacing w:before="0" w:line="360" w:lineRule="auto"/>
        <w:ind w:left="0" w:firstLine="567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«Временные» земельные участки снимут с государственного кадастрового учета с 01.03.2022. </w:t>
      </w:r>
    </w:p>
    <w:p w:rsidR="00405E12" w:rsidRPr="00B03B04" w:rsidRDefault="009672B6" w:rsidP="00B03B04">
      <w:pPr>
        <w:pStyle w:val="a5"/>
        <w:widowControl/>
        <w:shd w:val="clear" w:color="auto" w:fill="FFFFFF"/>
        <w:autoSpaceDE/>
        <w:autoSpaceDN/>
        <w:spacing w:before="0" w:line="360" w:lineRule="auto"/>
        <w:ind w:left="0" w:firstLine="0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Временный характер сведений ЕГРН об образованных объектах недвижимости, предусмотренный статьей 24 № </w:t>
      </w:r>
      <w:hyperlink r:id="rId9" w:history="1">
        <w:r w:rsidRPr="00B03B04">
          <w:rPr>
            <w:rStyle w:val="a7"/>
            <w:rFonts w:ascii="Tahoma" w:eastAsia="Times New Roman" w:hAnsi="Tahoma" w:cs="Tahoma"/>
            <w:color w:val="auto"/>
            <w:sz w:val="20"/>
            <w:szCs w:val="20"/>
            <w:u w:val="none"/>
            <w:lang w:eastAsia="ru-RU"/>
          </w:rPr>
          <w:t xml:space="preserve">221-ФЗ </w:t>
        </w:r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"О кадастровой деятельности"</w:t>
        </w:r>
      </w:hyperlink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(в редакции, действовавшей до 01.01.2017),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01.03.2022 года. По истечении данного срока сведения об участках, которые носят временный характер, будут исключены из ЕГРН, в соответствии с предусмотренным порядком ведения ЕГРН.</w:t>
      </w:r>
    </w:p>
    <w:p w:rsidR="004A0F32" w:rsidRPr="00B03B04" w:rsidRDefault="009672B6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B03B04">
        <w:rPr>
          <w:rStyle w:val="a8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Что делать, если Ваш участок имеет статус «временный»?</w:t>
      </w:r>
      <w:r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A0F32"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необходимо до 1 марта 2022 года оформить права на такие земельные участки и зарегистрировать их в </w:t>
      </w:r>
      <w:proofErr w:type="spellStart"/>
      <w:r w:rsidR="004A0F32"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>Росреестре</w:t>
      </w:r>
      <w:proofErr w:type="spellEnd"/>
      <w:r w:rsidR="004A0F32"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:rsidR="009672B6" w:rsidRDefault="004A0F32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>Если этого не сделать, то в последующем, при необходимости, процедуру постановки на государственный кадастровый учет нужно будет повторять, собирать все документы и обращаться к кадастровому инженеру для подготовки межевого плана.</w:t>
      </w:r>
      <w:r w:rsid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B03B04"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  <w:t>Если же, владельцы «временных» участков не изъявляют желания оформлять права, то такие участки можно снять с кадастрового учета, также обратившись в Росреестр. Эта процедура бесплатная, не требующая оплаты госпошлины.</w:t>
      </w:r>
    </w:p>
    <w:p w:rsidR="00B03B04" w:rsidRPr="00B03B04" w:rsidRDefault="00B03B04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Style w:val="a8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9672B6" w:rsidRPr="00B03B04" w:rsidRDefault="009672B6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spacing w:before="0" w:line="360" w:lineRule="auto"/>
        <w:ind w:left="0" w:firstLine="567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hAnsi="Tahoma" w:cs="Tahoma"/>
          <w:sz w:val="20"/>
          <w:szCs w:val="20"/>
        </w:rPr>
        <w:t xml:space="preserve">Размеры </w:t>
      </w:r>
      <w:proofErr w:type="spellStart"/>
      <w:r w:rsidRPr="00B03B04">
        <w:rPr>
          <w:rFonts w:ascii="Tahoma" w:hAnsi="Tahoma" w:cs="Tahoma"/>
          <w:sz w:val="20"/>
          <w:szCs w:val="20"/>
        </w:rPr>
        <w:t>машино</w:t>
      </w:r>
      <w:proofErr w:type="spellEnd"/>
      <w:r w:rsidRPr="00B03B04">
        <w:rPr>
          <w:rFonts w:ascii="Tahoma" w:hAnsi="Tahoma" w:cs="Tahoma"/>
          <w:sz w:val="20"/>
          <w:szCs w:val="20"/>
        </w:rPr>
        <w:t>-мест изменятся.</w:t>
      </w:r>
    </w:p>
    <w:p w:rsidR="009672B6" w:rsidRDefault="009672B6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Вступает в силу норма о снятии ограничения по размеру </w:t>
      </w:r>
      <w:proofErr w:type="spellStart"/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машино</w:t>
      </w:r>
      <w:proofErr w:type="spellEnd"/>
      <w:r w:rsidRPr="00B03B04">
        <w:rPr>
          <w:rFonts w:ascii="Tahoma" w:eastAsia="Times New Roman" w:hAnsi="Tahoma" w:cs="Tahoma"/>
          <w:sz w:val="20"/>
          <w:szCs w:val="20"/>
          <w:lang w:eastAsia="ru-RU"/>
        </w:rPr>
        <w:t>-места: о</w:t>
      </w:r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тменяется максимально допустимый размер </w:t>
      </w:r>
      <w:proofErr w:type="spellStart"/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>машино</w:t>
      </w:r>
      <w:proofErr w:type="spellEnd"/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>-места и определяет</w:t>
      </w:r>
      <w:r w:rsidR="00700FD3"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ся </w:t>
      </w:r>
      <w:r w:rsidRPr="00B03B04">
        <w:rPr>
          <w:rFonts w:ascii="Tahoma" w:hAnsi="Tahoma" w:cs="Tahoma"/>
          <w:bCs/>
          <w:sz w:val="20"/>
          <w:szCs w:val="20"/>
          <w:shd w:val="clear" w:color="auto" w:fill="FFFFFF"/>
        </w:rPr>
        <w:t>минимально допустимый размер - 5,3 на 2,5 метра.</w:t>
      </w:r>
    </w:p>
    <w:p w:rsidR="00B03B04" w:rsidRP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5510" w:rsidRPr="00B03B04" w:rsidRDefault="00533796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spacing w:before="0" w:line="360" w:lineRule="auto"/>
        <w:ind w:hanging="1778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Будет разрешено с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>троительство жилья на сельскохозяйственных землях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533796" w:rsidRPr="00B03B04" w:rsidRDefault="00533796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С 01.03.2022 разрешат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строить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индивидуальные жилые дома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на землях </w:t>
      </w:r>
      <w:proofErr w:type="spellStart"/>
      <w:r w:rsidRPr="00B03B04">
        <w:rPr>
          <w:rFonts w:ascii="Tahoma" w:eastAsia="Times New Roman" w:hAnsi="Tahoma" w:cs="Tahoma"/>
          <w:sz w:val="20"/>
          <w:szCs w:val="20"/>
          <w:lang w:eastAsia="ru-RU"/>
        </w:rPr>
        <w:t>сельскохоз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>назначения</w:t>
      </w:r>
      <w:proofErr w:type="spellEnd"/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>, если это необходимо для нужд крестья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нского (фермерского) хозяйства. Построить можно будет один дом размером не более 500 </w:t>
      </w:r>
      <w:proofErr w:type="spellStart"/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кв.м</w:t>
      </w:r>
      <w:proofErr w:type="spellEnd"/>
      <w:r w:rsidRPr="00B03B04">
        <w:rPr>
          <w:rFonts w:ascii="Tahoma" w:eastAsia="Times New Roman" w:hAnsi="Tahoma" w:cs="Tahoma"/>
          <w:sz w:val="20"/>
          <w:szCs w:val="20"/>
          <w:lang w:eastAsia="ru-RU"/>
        </w:rPr>
        <w:t>., соблюдая при этом площадь застройки -  не более 0,25</w:t>
      </w:r>
      <w:r w:rsidR="00700FD3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% территории. Р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>егистрация будет проходить по правил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ам «дачной амнистии» до 01.03.2026 года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C75510" w:rsidRDefault="00533796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При этом 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региональные власти 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будут </w:t>
      </w:r>
      <w:r w:rsidR="00700FD3" w:rsidRPr="00B03B04">
        <w:rPr>
          <w:rFonts w:ascii="Tahoma" w:eastAsia="Times New Roman" w:hAnsi="Tahoma" w:cs="Tahoma"/>
          <w:sz w:val="20"/>
          <w:szCs w:val="20"/>
          <w:lang w:eastAsia="ru-RU"/>
        </w:rPr>
        <w:t>наделены правом определя</w:t>
      </w:r>
      <w:r w:rsidR="00C75510" w:rsidRPr="00B03B04">
        <w:rPr>
          <w:rFonts w:ascii="Tahoma" w:eastAsia="Times New Roman" w:hAnsi="Tahoma" w:cs="Tahoma"/>
          <w:sz w:val="20"/>
          <w:szCs w:val="20"/>
          <w:lang w:eastAsia="ru-RU"/>
        </w:rPr>
        <w:t>ть территории, где строи</w:t>
      </w:r>
      <w:r w:rsidRPr="00B03B04">
        <w:rPr>
          <w:rFonts w:ascii="Tahoma" w:eastAsia="Times New Roman" w:hAnsi="Tahoma" w:cs="Tahoma"/>
          <w:sz w:val="20"/>
          <w:szCs w:val="20"/>
          <w:lang w:eastAsia="ru-RU"/>
        </w:rPr>
        <w:t>тельство жилых домов запрещено.</w:t>
      </w:r>
    </w:p>
    <w:p w:rsidR="00B03B04" w:rsidRPr="00B03B04" w:rsidRDefault="00B03B04" w:rsidP="00B03B04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672B6" w:rsidRPr="00B03B04" w:rsidRDefault="00533796" w:rsidP="00417CBD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851"/>
        </w:tabs>
        <w:autoSpaceDE/>
        <w:autoSpaceDN/>
        <w:spacing w:before="0" w:line="360" w:lineRule="auto"/>
        <w:ind w:hanging="1778"/>
        <w:rPr>
          <w:rFonts w:ascii="Tahoma" w:eastAsia="Times New Roman" w:hAnsi="Tahoma" w:cs="Tahoma"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Изменятся правила пользования жилыми помещениями. </w:t>
      </w:r>
    </w:p>
    <w:p w:rsidR="0040487B" w:rsidRPr="00417CBD" w:rsidRDefault="00533796" w:rsidP="00417CBD">
      <w:pPr>
        <w:pStyle w:val="a5"/>
        <w:widowControl/>
        <w:shd w:val="clear" w:color="auto" w:fill="FFFFFF"/>
        <w:autoSpaceDE/>
        <w:autoSpaceDN/>
        <w:spacing w:before="0" w:line="360" w:lineRule="auto"/>
        <w:ind w:left="0" w:firstLine="567"/>
        <w:rPr>
          <w:rFonts w:ascii="Tahoma" w:hAnsi="Tahoma" w:cs="Tahoma"/>
          <w:sz w:val="20"/>
          <w:szCs w:val="20"/>
        </w:rPr>
      </w:pPr>
      <w:r w:rsidRPr="00B03B04">
        <w:rPr>
          <w:rFonts w:ascii="Tahoma" w:hAnsi="Tahoma" w:cs="Tahoma"/>
          <w:sz w:val="20"/>
          <w:szCs w:val="20"/>
          <w:shd w:val="clear" w:color="auto" w:fill="FFFFFF"/>
        </w:rPr>
        <w:t>Новые правила начнут действовать с 01.03.2022, утверждены они </w:t>
      </w:r>
      <w:hyperlink r:id="rId10" w:tgtFrame="_blank" w:history="1"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приказом Минстроя РФ от 14.05.2021 № 292/</w:t>
        </w:r>
        <w:proofErr w:type="spellStart"/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пр</w:t>
        </w:r>
        <w:proofErr w:type="spellEnd"/>
        <w:r w:rsidRPr="00B03B04">
          <w:rPr>
            <w:rStyle w:val="a7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 xml:space="preserve"> "Об утверждении правил пользования жилыми помещениями"</w:t>
        </w:r>
      </w:hyperlink>
      <w:r w:rsidRPr="00B03B04">
        <w:rPr>
          <w:rFonts w:ascii="Tahoma" w:hAnsi="Tahoma" w:cs="Tahoma"/>
          <w:sz w:val="20"/>
          <w:szCs w:val="20"/>
        </w:rPr>
        <w:t xml:space="preserve">. </w:t>
      </w:r>
      <w:r w:rsidR="00417CBD">
        <w:rPr>
          <w:rFonts w:ascii="Tahoma" w:hAnsi="Tahoma" w:cs="Tahoma"/>
          <w:sz w:val="20"/>
          <w:szCs w:val="20"/>
        </w:rPr>
        <w:t xml:space="preserve"> </w:t>
      </w:r>
      <w:r w:rsidRPr="00B03B04">
        <w:rPr>
          <w:rFonts w:ascii="Tahoma" w:hAnsi="Tahoma" w:cs="Tahoma"/>
          <w:sz w:val="20"/>
          <w:szCs w:val="20"/>
        </w:rPr>
        <w:t>Д</w:t>
      </w:r>
      <w:r w:rsidR="0040487B" w:rsidRPr="00B03B04">
        <w:rPr>
          <w:rFonts w:ascii="Tahoma" w:eastAsia="Times New Roman" w:hAnsi="Tahoma" w:cs="Tahoma"/>
          <w:sz w:val="20"/>
          <w:szCs w:val="20"/>
          <w:lang w:eastAsia="ru-RU"/>
        </w:rPr>
        <w:t xml:space="preserve">ля лиц, которые пользуется государственными квартирами по договорам социального найма, вводится обязанность о немедленном сообщении о неисправностях жилого помещения или сантехники и другого оборудования в нем. </w:t>
      </w:r>
    </w:p>
    <w:p w:rsidR="00B03B04" w:rsidRDefault="00B03B04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03B0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Как новые правила будут реализованы узнаем совсем скоро. </w:t>
      </w:r>
    </w:p>
    <w:p w:rsidR="00417CBD" w:rsidRPr="00B03B04" w:rsidRDefault="00417CBD" w:rsidP="00B03B0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417CBD" w:rsidRDefault="00417CBD" w:rsidP="00B03B04">
      <w:pPr>
        <w:jc w:val="both"/>
        <w:rPr>
          <w:rFonts w:ascii="Tahoma" w:hAnsi="Tahoma" w:cs="Tahoma"/>
          <w:i/>
          <w:sz w:val="16"/>
          <w:szCs w:val="16"/>
        </w:rPr>
      </w:pPr>
    </w:p>
    <w:p w:rsidR="00B03B04" w:rsidRPr="00EF7F5F" w:rsidRDefault="00B03B04" w:rsidP="00B03B04">
      <w:pPr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  <w:r w:rsidRPr="00EF7F5F">
        <w:rPr>
          <w:rFonts w:ascii="Tahoma" w:hAnsi="Tahoma" w:cs="Tahoma"/>
          <w:i/>
          <w:sz w:val="16"/>
          <w:szCs w:val="16"/>
        </w:rPr>
        <w:t xml:space="preserve">Источник: </w:t>
      </w:r>
      <w:hyperlink r:id="rId11" w:history="1">
        <w:r w:rsidRPr="00EF7F5F">
          <w:rPr>
            <w:rStyle w:val="a7"/>
            <w:rFonts w:ascii="Tahoma" w:hAnsi="Tahoma" w:cs="Tahoma"/>
            <w:i/>
            <w:sz w:val="16"/>
            <w:szCs w:val="16"/>
          </w:rPr>
          <w:t>https://rkc56.ru</w:t>
        </w:r>
      </w:hyperlink>
    </w:p>
    <w:p w:rsidR="00B03B04" w:rsidRPr="00EF7F5F" w:rsidRDefault="00B03B04" w:rsidP="00B03B04">
      <w:pPr>
        <w:jc w:val="both"/>
        <w:rPr>
          <w:rFonts w:ascii="Tahoma" w:hAnsi="Tahoma" w:cs="Tahoma"/>
          <w:i/>
          <w:sz w:val="16"/>
          <w:szCs w:val="16"/>
        </w:rPr>
      </w:pPr>
      <w:r w:rsidRPr="00EF7F5F">
        <w:rPr>
          <w:rFonts w:ascii="Tahoma" w:hAnsi="Tahoma" w:cs="Tahoma"/>
          <w:i/>
          <w:sz w:val="16"/>
          <w:szCs w:val="16"/>
        </w:rPr>
        <w:t>Горбачёва Л.Р.</w:t>
      </w:r>
    </w:p>
    <w:p w:rsidR="00B03B04" w:rsidRPr="00EF7F5F" w:rsidRDefault="00B03B04" w:rsidP="00B03B04">
      <w:pPr>
        <w:jc w:val="both"/>
        <w:rPr>
          <w:rFonts w:ascii="Tahoma" w:hAnsi="Tahoma" w:cs="Tahoma"/>
          <w:i/>
          <w:sz w:val="16"/>
          <w:szCs w:val="16"/>
        </w:rPr>
      </w:pPr>
      <w:r w:rsidRPr="00EF7F5F">
        <w:rPr>
          <w:rFonts w:ascii="Tahoma" w:hAnsi="Tahoma" w:cs="Tahoma"/>
          <w:i/>
          <w:sz w:val="16"/>
          <w:szCs w:val="16"/>
        </w:rPr>
        <w:t>Специалист по связям с общественностью</w:t>
      </w:r>
    </w:p>
    <w:p w:rsidR="0040487B" w:rsidRPr="00B03B04" w:rsidRDefault="00B03B04" w:rsidP="00B03B04">
      <w:pPr>
        <w:jc w:val="both"/>
        <w:rPr>
          <w:rFonts w:ascii="Tahoma" w:hAnsi="Tahoma" w:cs="Tahoma"/>
          <w:i/>
          <w:sz w:val="16"/>
          <w:szCs w:val="16"/>
        </w:rPr>
      </w:pPr>
      <w:r w:rsidRPr="00EF7F5F">
        <w:rPr>
          <w:rFonts w:ascii="Tahoma" w:hAnsi="Tahoma" w:cs="Tahoma"/>
          <w:i/>
          <w:sz w:val="16"/>
          <w:szCs w:val="16"/>
        </w:rPr>
        <w:t>Компании «Региональный кадастровый центр»</w:t>
      </w:r>
    </w:p>
    <w:sectPr w:rsidR="0040487B" w:rsidRPr="00B03B04" w:rsidSect="00417CB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6D"/>
    <w:multiLevelType w:val="hybridMultilevel"/>
    <w:tmpl w:val="889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EA1"/>
    <w:multiLevelType w:val="multilevel"/>
    <w:tmpl w:val="ADA8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E2DD9"/>
    <w:multiLevelType w:val="hybridMultilevel"/>
    <w:tmpl w:val="95D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0965"/>
    <w:multiLevelType w:val="hybridMultilevel"/>
    <w:tmpl w:val="D5E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E2908"/>
    <w:multiLevelType w:val="multilevel"/>
    <w:tmpl w:val="836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F0DFB"/>
    <w:multiLevelType w:val="hybridMultilevel"/>
    <w:tmpl w:val="2AAA187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C"/>
    <w:rsid w:val="002A18C3"/>
    <w:rsid w:val="00363A48"/>
    <w:rsid w:val="0040487B"/>
    <w:rsid w:val="00405E12"/>
    <w:rsid w:val="0040715E"/>
    <w:rsid w:val="00417CBD"/>
    <w:rsid w:val="004A0F32"/>
    <w:rsid w:val="00533796"/>
    <w:rsid w:val="00560717"/>
    <w:rsid w:val="0063192C"/>
    <w:rsid w:val="00700FD3"/>
    <w:rsid w:val="009672B6"/>
    <w:rsid w:val="009678DE"/>
    <w:rsid w:val="009B6E17"/>
    <w:rsid w:val="009B6EC6"/>
    <w:rsid w:val="00B03B04"/>
    <w:rsid w:val="00BE27B3"/>
    <w:rsid w:val="00C50DCC"/>
    <w:rsid w:val="00C75510"/>
    <w:rsid w:val="00E93859"/>
    <w:rsid w:val="00F10AC7"/>
    <w:rsid w:val="00F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7BDD"/>
  <w15:chartTrackingRefBased/>
  <w15:docId w15:val="{50232AAF-5624-424F-ABC5-24752E8D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2A18C3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9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customStyle="1" w:styleId="50">
    <w:name w:val="Заголовок 5 Знак"/>
    <w:basedOn w:val="a0"/>
    <w:link w:val="5"/>
    <w:uiPriority w:val="9"/>
    <w:rsid w:val="002A1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A18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18C3"/>
    <w:rPr>
      <w:color w:val="0000FF"/>
      <w:u w:val="single"/>
    </w:rPr>
  </w:style>
  <w:style w:type="character" w:styleId="a8">
    <w:name w:val="Strong"/>
    <w:basedOn w:val="a0"/>
    <w:uiPriority w:val="22"/>
    <w:qFormat/>
    <w:rsid w:val="002A18C3"/>
    <w:rPr>
      <w:b/>
      <w:bCs/>
    </w:rPr>
  </w:style>
  <w:style w:type="character" w:styleId="a9">
    <w:name w:val="Emphasis"/>
    <w:basedOn w:val="a0"/>
    <w:uiPriority w:val="20"/>
    <w:qFormat/>
    <w:rsid w:val="002A1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7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4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c56.ru/documents/49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news/4977" TargetMode="External"/><Relationship Id="rId11" Type="http://schemas.openxmlformats.org/officeDocument/2006/relationships/hyperlink" Target="https://rkc56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documents/4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documents/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2021-11-23T05:01:00Z</dcterms:created>
  <dcterms:modified xsi:type="dcterms:W3CDTF">2021-11-23T05:01:00Z</dcterms:modified>
</cp:coreProperties>
</file>