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rFonts w:ascii="Times New Roman" w:hAnsi="Times New Roman" w:eastAsia="Times New Roman"/>
          <w:b/>
          <w:sz w:val="22"/>
        </w:rPr>
        <w:t>Приложение № 10</w:t>
      </w:r>
    </w:p>
    <w:p>
      <w:pPr>
        <w:spacing w:after="60"/>
        <w:jc w:val="cent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>АО «КОРПОРАЦИЯ РАЗВИТИЯ КАРАЧАЕВО-ЧЕРКЕССКОЙ РЕСПУБЛИКИ»</w:t>
      </w:r>
    </w:p>
    <w:p>
      <w:pPr>
        <w:pStyle w:val="Title"/>
        <w:jc w:val="center"/>
      </w:pPr>
      <w:r>
        <w:rPr>
          <w:rFonts w:ascii="Times New Roman" w:hAnsi="Times New Roman" w:eastAsia="Times New Roman"/>
          <w:b/>
          <w:i w:val="0"/>
          <w:color w:val="1F4E78"/>
          <w:sz w:val="34"/>
        </w:rPr>
        <w:t>ГОСУДАРСТВЕННЫЙ КАДАСТРОВЫЙ УЧЕТ ОБЪЕКТА НЕДВИЖИМОСТИ</w:t>
      </w:r>
    </w:p>
    <w:p>
      <w:pPr>
        <w:jc w:val="center"/>
      </w:pPr>
      <w:r>
        <w:rPr>
          <w:rFonts w:ascii="Times New Roman" w:hAnsi="Times New Roman" w:eastAsia="Times New Roman"/>
          <w:b w:val="0"/>
          <w:i/>
          <w:color w:val="404040"/>
          <w:sz w:val="24"/>
        </w:rPr>
        <w:t>Информационная памятка для субъектов предпринимательства</w:t>
      </w:r>
    </w:p>
    <w:p>
      <w:pPr>
        <w:jc w:val="center"/>
      </w:pPr>
      <w:r>
        <w:rPr>
          <w:rFonts w:ascii="Times New Roman" w:hAnsi="Times New Roman" w:eastAsia="Times New Roman"/>
          <w:b/>
          <w:i w:val="0"/>
          <w:sz w:val="21"/>
        </w:rPr>
        <w:t>Подготовлено во исполнение пункта 89 дорожной карты</w:t>
      </w:r>
    </w:p>
    <w:p>
      <w:pPr>
        <w:jc w:val="center"/>
      </w:pPr>
      <w:r>
        <w:rPr>
          <w:rFonts w:ascii="Times New Roman" w:hAnsi="Times New Roman" w:eastAsia="Times New Roman"/>
          <w:b w:val="0"/>
          <w:i/>
          <w:color w:val="404040"/>
          <w:sz w:val="20"/>
        </w:rPr>
        <w:t>Информация актуальна по состоянию на 15 июля 2026 г.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D9EAF7"/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/>
                <w:i w:val="0"/>
                <w:color w:val="1F4E78"/>
                <w:sz w:val="21"/>
              </w:rPr>
              <w:t xml:space="preserve">Важно: </w:t>
            </w: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памятка содержит общий алгоритм. Конкретный состав документов зависит от вида объекта, параметров проекта, правового режима территории и требований уполномоченного органа. Перед подачей заявления необходимо проверить актуальную форму услуги и административный регламент.</w:t>
            </w:r>
          </w:p>
        </w:tc>
      </w:tr>
    </w:tbl>
    <w:p/>
    <w:p>
      <w:pPr>
        <w:pStyle w:val="Heading1"/>
      </w:pPr>
      <w:r>
        <w:t>1. Когда требуется кадастровый учет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образование или изменение земельного участка;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создание здания, сооружения, помещения, машино-места или объекта незавершенного строительства;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изменение основных характеристик учтенного объекта;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прекращение существования объекта и снятие его с учета;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одновременный кадастровый учет и государственная регистрация права в предусмотренных законом случаях.</w:t>
      </w:r>
    </w:p>
    <w:p>
      <w:pPr>
        <w:pStyle w:val="Heading1"/>
      </w:pPr>
      <w:r>
        <w:t>2. Какой документ готовит кадастровый инженер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tblHeader w:val="true"/>
        </w:trPr>
        <w:tc>
          <w:tcPr>
            <w:tcW w:type="dxa" w:w="4535"/>
            <w:shd w:fill="1F4E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Объект / действие</w:t>
            </w:r>
          </w:p>
        </w:tc>
        <w:tc>
          <w:tcPr>
            <w:tcW w:type="dxa" w:w="5102"/>
            <w:shd w:fill="1F4E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Основной кадастровый документ</w:t>
            </w:r>
          </w:p>
        </w:tc>
      </w:tr>
      <w:tr>
        <w:trPr>
          <w:cantSplit/>
        </w:trPr>
        <w:tc>
          <w:tcPr>
            <w:tcW w:type="dxa" w:w="45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Земельный участок</w:t>
            </w:r>
          </w:p>
        </w:tc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Межевой план.</w:t>
            </w:r>
          </w:p>
        </w:tc>
      </w:tr>
      <w:tr>
        <w:trPr>
          <w:cantSplit/>
        </w:trPr>
        <w:tc>
          <w:tcPr>
            <w:tcW w:type="dxa" w:w="45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Здание, сооружение, помещение, машино-место, объект незавершенного строительства</w:t>
            </w:r>
          </w:p>
        </w:tc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Технический план.</w:t>
            </w:r>
          </w:p>
        </w:tc>
      </w:tr>
      <w:tr>
        <w:trPr>
          <w:cantSplit/>
        </w:trPr>
        <w:tc>
          <w:tcPr>
            <w:tcW w:type="dxa" w:w="45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Прекращение существования объекта</w:t>
            </w:r>
          </w:p>
        </w:tc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Акт обследования.</w:t>
            </w:r>
          </w:p>
        </w:tc>
      </w:tr>
      <w:tr>
        <w:trPr>
          <w:cantSplit/>
        </w:trPr>
        <w:tc>
          <w:tcPr>
            <w:tcW w:type="dxa" w:w="45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Исправление реестровой ошибки</w:t>
            </w:r>
          </w:p>
        </w:tc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Документ определяется характером ошибки и объектом; требуется правовой и технический анализ.</w:t>
            </w:r>
          </w:p>
        </w:tc>
      </w:tr>
    </w:tbl>
    <w:p/>
    <w:p>
      <w:pPr>
        <w:pStyle w:val="Heading1"/>
      </w:pPr>
      <w:r>
        <w:t>3. Пошаговый порядок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1. </w:t>
      </w:r>
      <w:r>
        <w:rPr>
          <w:rFonts w:ascii="Times New Roman" w:hAnsi="Times New Roman" w:eastAsia="Times New Roman"/>
          <w:b w:val="0"/>
          <w:i w:val="0"/>
          <w:sz w:val="22"/>
        </w:rPr>
        <w:t>Проверьте права на исходный объект и земельный участок, разрешительную и проектную документацию.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2. </w:t>
      </w:r>
      <w:r>
        <w:rPr>
          <w:rFonts w:ascii="Times New Roman" w:hAnsi="Times New Roman" w:eastAsia="Times New Roman"/>
          <w:b w:val="0"/>
          <w:i w:val="0"/>
          <w:sz w:val="22"/>
        </w:rPr>
        <w:t>Выберите кадастрового инженера и проверьте сведения о нем в государственном реестре, членство в СРО и страхование ответственности.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3. </w:t>
      </w:r>
      <w:r>
        <w:rPr>
          <w:rFonts w:ascii="Times New Roman" w:hAnsi="Times New Roman" w:eastAsia="Times New Roman"/>
          <w:b w:val="0"/>
          <w:i w:val="0"/>
          <w:sz w:val="22"/>
        </w:rPr>
        <w:t>Заключите договор с четким техническим заданием, сроками, ценой и обязанностью устранить ошибки.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4. </w:t>
      </w:r>
      <w:r>
        <w:rPr>
          <w:rFonts w:ascii="Times New Roman" w:hAnsi="Times New Roman" w:eastAsia="Times New Roman"/>
          <w:b w:val="0"/>
          <w:i w:val="0"/>
          <w:sz w:val="22"/>
        </w:rPr>
        <w:t>Предоставьте инженеру исходные документы и доступ к объекту.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5. </w:t>
      </w:r>
      <w:r>
        <w:rPr>
          <w:rFonts w:ascii="Times New Roman" w:hAnsi="Times New Roman" w:eastAsia="Times New Roman"/>
          <w:b w:val="0"/>
          <w:i w:val="0"/>
          <w:sz w:val="22"/>
        </w:rPr>
        <w:t>Проверьте подготовленный межевой или технический план до подписания: характеристики, координаты, адрес и документы-основания.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6. </w:t>
      </w:r>
      <w:r>
        <w:rPr>
          <w:rFonts w:ascii="Times New Roman" w:hAnsi="Times New Roman" w:eastAsia="Times New Roman"/>
          <w:b w:val="0"/>
          <w:i w:val="0"/>
          <w:sz w:val="22"/>
        </w:rPr>
        <w:t>Подайте заявление и электронный кадастровый документ через предусмотренный электронный сервис.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7. </w:t>
      </w:r>
      <w:r>
        <w:rPr>
          <w:rFonts w:ascii="Times New Roman" w:hAnsi="Times New Roman" w:eastAsia="Times New Roman"/>
          <w:b w:val="0"/>
          <w:i w:val="0"/>
          <w:sz w:val="22"/>
        </w:rPr>
        <w:t>При приостановлении немедленно передайте замечания кадастровому инженеру и определите, кто обязан их устранить.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8. </w:t>
      </w:r>
      <w:r>
        <w:rPr>
          <w:rFonts w:ascii="Times New Roman" w:hAnsi="Times New Roman" w:eastAsia="Times New Roman"/>
          <w:b w:val="0"/>
          <w:i w:val="0"/>
          <w:sz w:val="22"/>
        </w:rPr>
        <w:t>После учета получите выписку ЕГРН и проверьте все характеристики.</w:t>
      </w:r>
    </w:p>
    <w:p>
      <w:pPr>
        <w:pStyle w:val="Heading1"/>
      </w:pPr>
      <w:r>
        <w:t>4. Сроки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tblHeader w:val="true"/>
        </w:trPr>
        <w:tc>
          <w:tcPr>
            <w:tcW w:type="dxa" w:w="5669"/>
            <w:shd w:fill="1F4E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Процедура</w:t>
            </w:r>
          </w:p>
        </w:tc>
        <w:tc>
          <w:tcPr>
            <w:tcW w:type="dxa" w:w="3969"/>
            <w:shd w:fill="1F4E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Общий срок</w:t>
            </w:r>
          </w:p>
        </w:tc>
      </w:tr>
      <w:tr>
        <w:trPr>
          <w:cantSplit/>
        </w:trPr>
        <w:tc>
          <w:tcPr>
            <w:tcW w:type="dxa" w:w="566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Кадастровый учет при прямой подаче</w:t>
            </w:r>
          </w:p>
        </w:tc>
        <w:tc>
          <w:tcPr>
            <w:tcW w:type="dxa" w:w="396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5 рабочих дней.</w:t>
            </w:r>
          </w:p>
        </w:tc>
      </w:tr>
      <w:tr>
        <w:trPr>
          <w:cantSplit/>
        </w:trPr>
        <w:tc>
          <w:tcPr>
            <w:tcW w:type="dxa" w:w="566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Кадастровый учет через МФЦ</w:t>
            </w:r>
          </w:p>
        </w:tc>
        <w:tc>
          <w:tcPr>
            <w:tcW w:type="dxa" w:w="396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7 рабочих дней.</w:t>
            </w:r>
          </w:p>
        </w:tc>
      </w:tr>
      <w:tr>
        <w:trPr>
          <w:cantSplit/>
        </w:trPr>
        <w:tc>
          <w:tcPr>
            <w:tcW w:type="dxa" w:w="566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Одновременный учет и регистрация при прямой подаче</w:t>
            </w:r>
          </w:p>
        </w:tc>
        <w:tc>
          <w:tcPr>
            <w:tcW w:type="dxa" w:w="396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10 рабочих дней.</w:t>
            </w:r>
          </w:p>
        </w:tc>
      </w:tr>
      <w:tr>
        <w:trPr>
          <w:cantSplit/>
        </w:trPr>
        <w:tc>
          <w:tcPr>
            <w:tcW w:type="dxa" w:w="566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Одновременный учет и регистрация через МФЦ</w:t>
            </w:r>
          </w:p>
        </w:tc>
        <w:tc>
          <w:tcPr>
            <w:tcW w:type="dxa" w:w="396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12 рабочих дней.</w:t>
            </w:r>
          </w:p>
        </w:tc>
      </w:tr>
    </w:tbl>
    <w:p/>
    <w:p>
      <w:pPr>
        <w:pStyle w:val="Heading1"/>
      </w:pPr>
      <w:r>
        <w:t>5. Типовые причины приостановления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пересечение границ земельных участков или несоответствие координат;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несоответствие объекта разрешению на строительство, вводу или проектной документации;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ошибки в XML-файле либо электронной подписи кадастрового инженера;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противоречия между техническим планом и сведениями ЕГРН;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неподтвержденное образование помещения или машино-места;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отсутствие обязательного согласования границ или документа-основания;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подача заявления ненадлежащим лицом.</w:t>
      </w:r>
    </w:p>
    <w:p>
      <w:pPr>
        <w:pStyle w:val="Heading1"/>
      </w:pPr>
      <w:r>
        <w:t>6. Чек-лист заказчика кадастровых работ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tblHeader w:val="true"/>
        </w:trPr>
        <w:tc>
          <w:tcPr>
            <w:tcW w:type="dxa" w:w="850"/>
            <w:shd w:fill="1F4E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Отметка</w:t>
            </w:r>
          </w:p>
        </w:tc>
        <w:tc>
          <w:tcPr>
            <w:tcW w:type="dxa" w:w="8787"/>
            <w:shd w:fill="1F4E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Контрольный вопрос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☐</w:t>
            </w:r>
          </w:p>
        </w:tc>
        <w:tc>
          <w:tcPr>
            <w:tcW w:type="dxa" w:w="878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Кадастровый инженер проверен по официальному реестру.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☐</w:t>
            </w:r>
          </w:p>
        </w:tc>
        <w:tc>
          <w:tcPr>
            <w:tcW w:type="dxa" w:w="878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договоре предусмотрено бесплатное устранение ошибок исполнителя.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☐</w:t>
            </w:r>
          </w:p>
        </w:tc>
        <w:tc>
          <w:tcPr>
            <w:tcW w:type="dxa" w:w="878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Исходные документы полны и актуальны.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☐</w:t>
            </w:r>
          </w:p>
        </w:tc>
        <w:tc>
          <w:tcPr>
            <w:tcW w:type="dxa" w:w="878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Фактические характеристики объекта измерены.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☐</w:t>
            </w:r>
          </w:p>
        </w:tc>
        <w:tc>
          <w:tcPr>
            <w:tcW w:type="dxa" w:w="878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Адрес, площадь, назначение, этажность и координаты проверены заказчиком.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☐</w:t>
            </w:r>
          </w:p>
        </w:tc>
        <w:tc>
          <w:tcPr>
            <w:tcW w:type="dxa" w:w="878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Электронный файл и подпись кадастрового инженера получены.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☐</w:t>
            </w:r>
          </w:p>
        </w:tc>
        <w:tc>
          <w:tcPr>
            <w:tcW w:type="dxa" w:w="878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После учета выписка ЕГРН проверена на ошибки.</w:t>
            </w:r>
          </w:p>
        </w:tc>
      </w:tr>
    </w:tbl>
    <w:p/>
    <w:p>
      <w:pPr>
        <w:pStyle w:val="Heading1"/>
      </w:pPr>
      <w:r>
        <w:t>Куда обращаться и где проверять информацию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tblHeader w:val="true"/>
        </w:trPr>
        <w:tc>
          <w:tcPr>
            <w:tcW w:type="dxa" w:w="3402"/>
            <w:shd w:fill="1F4E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Орган / ресурс</w:t>
            </w:r>
          </w:p>
        </w:tc>
        <w:tc>
          <w:tcPr>
            <w:tcW w:type="dxa" w:w="6236"/>
            <w:shd w:fill="1F4E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Назначение</w:t>
            </w:r>
          </w:p>
        </w:tc>
      </w:tr>
      <w:tr>
        <w:trPr>
          <w:cantSplit/>
        </w:trP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Росреестр / Управление Росреестра по КЧР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Государственный кадастровый учет и регистрация прав.</w:t>
            </w:r>
          </w:p>
        </w:tc>
      </w:tr>
      <w:tr>
        <w:trPr>
          <w:cantSplit/>
        </w:trP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Официальный реестр кадастровых инженеров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Проверка статуса и результатов деятельности специалиста.</w:t>
            </w:r>
          </w:p>
        </w:tc>
      </w:tr>
      <w:tr>
        <w:trPr>
          <w:cantSplit/>
        </w:trP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ЕПГУ и личный кабинет Росреестра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Электронная подача документов и отслеживание заявления.</w:t>
            </w:r>
          </w:p>
        </w:tc>
      </w:tr>
      <w:tr>
        <w:trPr>
          <w:cantSplit/>
        </w:trP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АО «Корпорация развития КЧР»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Организационное сопровождение проекта.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2F0D9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rFonts w:ascii="Times New Roman" w:hAnsi="Times New Roman" w:eastAsia="Times New Roman"/>
                <w:b/>
                <w:i w:val="0"/>
                <w:color w:val="548235"/>
                <w:sz w:val="21"/>
              </w:rPr>
              <w:t xml:space="preserve">Для публикации: </w:t>
            </w: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до размещения памятки необходимо дополнить таблицу актуальными адресами, телефонами, режимом приема, ссылками на региональные формы услуг и QR-кодами.</w:t>
            </w:r>
          </w:p>
        </w:tc>
      </w:tr>
    </w:tbl>
    <w:p/>
    <w:p>
      <w:pPr>
        <w:pStyle w:val="Heading1"/>
      </w:pPr>
      <w:r>
        <w:t>Нормативная основа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Федеральный закон от 13 июля 2015 г. № 218-ФЗ «О государственной регистрации недвижимости».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Федеральный закон от 24 июля 2007 г. № 221-ФЗ «О кадастровой деятельности».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Приказы Росреестра, устанавливающие формы и требования к межевому плану, техническому плану и акту обследования.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Градостроительный и Земельный кодексы Российской Федерации - в зависимости от объекта.</w:t>
      </w:r>
    </w:p>
    <w:p>
      <w:r>
        <w:rPr>
          <w:rFonts w:ascii="Times New Roman" w:hAnsi="Times New Roman" w:eastAsia="Times New Roman"/>
          <w:b/>
          <w:i w:val="0"/>
          <w:sz w:val="19"/>
        </w:rPr>
        <w:t xml:space="preserve">Примечание: </w:t>
      </w:r>
      <w:r>
        <w:rPr>
          <w:rFonts w:ascii="Times New Roman" w:hAnsi="Times New Roman" w:eastAsia="Times New Roman"/>
          <w:b w:val="0"/>
          <w:i/>
          <w:sz w:val="19"/>
        </w:rPr>
        <w:t>при применении памятки после даты ее актуализации необходимо проверить действующую редакцию нормативных правовых актов и региональных административных регламентов.</w:t>
      </w:r>
    </w:p>
    <w:p>
      <w:pPr>
        <w:spacing w:before="200"/>
        <w:jc w:val="center"/>
      </w:pPr>
      <w:r>
        <w:rPr>
          <w:rFonts w:ascii="Times New Roman" w:hAnsi="Times New Roman" w:eastAsia="Times New Roman"/>
          <w:b w:val="0"/>
          <w:i/>
          <w:color w:val="404040"/>
          <w:sz w:val="19"/>
        </w:rPr>
        <w:t>Материал носит информационный характер и не заменяет индивидуальную правовую консультацию.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850" w:bottom="964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404040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i w:val="0"/>
        <w:color w:val="1F4E78"/>
        <w:sz w:val="18"/>
      </w:rPr>
      <w:t>АО «Корпорация развития Карачаево-Черкесской Республики»</w:t>
    </w:r>
  </w:p>
  <w:p>
    <w:pPr>
      <w:spacing w:after="0"/>
      <w:jc w:val="center"/>
      <w:pBdr>
        <w:bottom w:val="single" w:sz="4" w:space="1" w:color="A6A6A6"/>
      </w:pBdr>
    </w:pPr>
    <w:r>
      <w:rPr>
        <w:rFonts w:ascii="Times New Roman" w:hAnsi="Times New Roman" w:eastAsia="Times New Roman"/>
        <w:b w:val="0"/>
        <w:i/>
        <w:color w:val="404040"/>
        <w:sz w:val="17"/>
      </w:rPr>
      <w:t>Пункт 89. Кадастровый учет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80"/>
      <w:jc w:val="both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04040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0404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F4E78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mpactBullet">
    <w:name w:val="Compact Bullet"/>
    <w:basedOn w:val="Normal"/>
    <w:pPr>
      <w:spacing w:after="40"/>
      <w:ind w:left="369" w:hanging="198"/>
    </w:pPr>
  </w:style>
  <w:style w:type="paragraph" w:customStyle="1" w:styleId="CompactNumber">
    <w:name w:val="Compact Number"/>
    <w:basedOn w:val="Normal"/>
    <w:pPr>
      <w:spacing w:after="40"/>
      <w:ind w:left="425" w:hanging="283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Пункт 89. Кадастровый учет</dc:title>
  <dc:subject>План мероприятий («дорожная карта») по улучшению условий ведения бизнеса на территории Карачаево-Черкесской Республики, утвержденный Указом Главы Карачаево-Черкесской Республики от 6 февраля 2026 г. № 12</dc:subject>
  <dc:creator>АО «Корпорация развития Карачаево-Черкесской Республики»</dc:creator>
  <cp:keywords>КЧР; дорожная карта; бизнес; памятка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