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Times New Roman" w:hAnsi="Times New Roman" w:eastAsia="Times New Roman"/>
          <w:b/>
          <w:sz w:val="22"/>
        </w:rPr>
        <w:t>Приложение № 2</w:t>
      </w:r>
    </w:p>
    <w:p>
      <w:pPr>
        <w:spacing w:after="60"/>
        <w:jc w:val="cent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>АО «КОРПОРАЦИЯ РАЗВИТИЯ КАРАЧАЕВО-ЧЕРКЕССКОЙ РЕСПУБЛИКИ»</w:t>
      </w:r>
    </w:p>
    <w:p>
      <w:pPr>
        <w:pStyle w:val="Title"/>
        <w:jc w:val="center"/>
      </w:pPr>
      <w:r>
        <w:rPr>
          <w:rFonts w:ascii="Times New Roman" w:hAnsi="Times New Roman" w:eastAsia="Times New Roman"/>
          <w:b/>
          <w:i w:val="0"/>
          <w:color w:val="1F4E78"/>
          <w:sz w:val="34"/>
        </w:rPr>
        <w:t>ПОЛУЧЕНИЕ РАЗРЕШЕНИЯ НА СТРОИТЕЛЬСТВО</w:t>
      </w:r>
    </w:p>
    <w:p>
      <w:pPr>
        <w:jc w:val="center"/>
      </w:pPr>
      <w:r>
        <w:rPr>
          <w:rFonts w:ascii="Times New Roman" w:hAnsi="Times New Roman" w:eastAsia="Times New Roman"/>
          <w:b w:val="0"/>
          <w:i/>
          <w:color w:val="404040"/>
          <w:sz w:val="24"/>
        </w:rPr>
        <w:t>Информационная памятка для субъектов предпринимательства</w:t>
      </w:r>
    </w:p>
    <w:p>
      <w:pPr>
        <w:jc w:val="center"/>
      </w:pPr>
      <w:r>
        <w:rPr>
          <w:rFonts w:ascii="Times New Roman" w:hAnsi="Times New Roman" w:eastAsia="Times New Roman"/>
          <w:b/>
          <w:i w:val="0"/>
          <w:sz w:val="21"/>
        </w:rPr>
        <w:t>Подготовлено во исполнение пункта 4 дорожной карты</w:t>
      </w:r>
    </w:p>
    <w:p>
      <w:pPr>
        <w:jc w:val="center"/>
      </w:pPr>
      <w:r>
        <w:rPr>
          <w:rFonts w:ascii="Times New Roman" w:hAnsi="Times New Roman" w:eastAsia="Times New Roman"/>
          <w:b w:val="0"/>
          <w:i/>
          <w:color w:val="404040"/>
          <w:sz w:val="20"/>
        </w:rPr>
        <w:t>Информация актуальна по состоянию на 15 июля 2026 г.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D9EAF7"/>
            <w:tcMar>
              <w:top w:w="110" w:type="dxa"/>
              <w:start w:w="150" w:type="dxa"/>
              <w:bottom w:w="110" w:type="dxa"/>
              <w:end w:w="150" w:type="dxa"/>
            </w:tcMar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/>
                <w:i w:val="0"/>
                <w:color w:val="1F4E78"/>
                <w:sz w:val="21"/>
              </w:rPr>
              <w:t xml:space="preserve">Важно: </w:t>
            </w: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памятка содержит общий алгоритм. Конкретный состав документов зависит от вида объекта, параметров проекта, правового режима территории и требований уполномоченного органа. Перед подачей заявления необходимо проверить актуальную форму услуги и административный регламент.</w:t>
            </w:r>
          </w:p>
        </w:tc>
      </w:tr>
    </w:tbl>
    <w:p/>
    <w:p>
      <w:pPr>
        <w:pStyle w:val="Heading1"/>
      </w:pPr>
      <w:r>
        <w:t>1. Когда требуется разрешение</w:t>
      </w:r>
    </w:p>
    <w:p>
      <w:r>
        <w:rPr>
          <w:rFonts w:ascii="Times New Roman" w:hAnsi="Times New Roman" w:eastAsia="Times New Roman"/>
          <w:b w:val="0"/>
          <w:i w:val="0"/>
          <w:sz w:val="23"/>
        </w:rPr>
        <w:t>Разрешение на строительство подтверждает соответствие проектной документации установленным требованиям и дает застройщику право осуществлять строительство или реконструкцию объекта капитального строительства, кроме случаев, прямо предусмотренных Градостроительным кодексом Российской Федерации.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FFC7CE"/>
            <w:tcMar>
              <w:top w:w="100" w:type="dxa"/>
              <w:start w:w="140" w:type="dxa"/>
              <w:bottom w:w="100" w:type="dxa"/>
              <w:end w:w="140" w:type="dxa"/>
            </w:tcMar>
          </w:tcPr>
          <w:p>
            <w:r>
              <w:rPr>
                <w:rFonts w:ascii="Times New Roman" w:hAnsi="Times New Roman" w:eastAsia="Times New Roman"/>
                <w:b/>
                <w:i w:val="0"/>
                <w:color w:val="9C0006"/>
                <w:sz w:val="21"/>
              </w:rPr>
              <w:t xml:space="preserve">Не начинайте работы заранее. </w:t>
            </w: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Строительство без требуемого разрешения создает риск признания объекта самовольной постройкой, привлечения к ответственности, отказа во вводе объекта и государственной регистрации.</w:t>
            </w:r>
          </w:p>
        </w:tc>
      </w:tr>
    </w:tbl>
    <w:p/>
    <w:p>
      <w:pPr>
        <w:pStyle w:val="Heading1"/>
      </w:pPr>
      <w:r>
        <w:t>2. Алгоритм действий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1. </w:t>
      </w:r>
      <w:r>
        <w:rPr>
          <w:rFonts w:ascii="Times New Roman" w:hAnsi="Times New Roman" w:eastAsia="Times New Roman"/>
          <w:b w:val="0"/>
          <w:i w:val="0"/>
          <w:sz w:val="22"/>
        </w:rPr>
        <w:t>Проверьте право на земельный участок, его вид разрешенного использования, территориальную зону и наличие ограничений.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2. </w:t>
      </w:r>
      <w:r>
        <w:rPr>
          <w:rFonts w:ascii="Times New Roman" w:hAnsi="Times New Roman" w:eastAsia="Times New Roman"/>
          <w:b w:val="0"/>
          <w:i w:val="0"/>
          <w:sz w:val="22"/>
        </w:rPr>
        <w:t>Получите градостроительный план земельного участка (ГПЗУ) и проверьте срок его использования для целей проектирования.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3. </w:t>
      </w:r>
      <w:r>
        <w:rPr>
          <w:rFonts w:ascii="Times New Roman" w:hAnsi="Times New Roman" w:eastAsia="Times New Roman"/>
          <w:b w:val="0"/>
          <w:i w:val="0"/>
          <w:sz w:val="22"/>
        </w:rPr>
        <w:t>Организуйте инженерные изыскания и подготовку проектной документации лицами, имеющими необходимые права и допуски.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4. </w:t>
      </w:r>
      <w:r>
        <w:rPr>
          <w:rFonts w:ascii="Times New Roman" w:hAnsi="Times New Roman" w:eastAsia="Times New Roman"/>
          <w:b w:val="0"/>
          <w:i w:val="0"/>
          <w:sz w:val="22"/>
        </w:rPr>
        <w:t>Получите положительное заключение экспертизы проектной документации и результатов инженерных изысканий, если экспертиза обязательна.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5. </w:t>
      </w:r>
      <w:r>
        <w:rPr>
          <w:rFonts w:ascii="Times New Roman" w:hAnsi="Times New Roman" w:eastAsia="Times New Roman"/>
          <w:b w:val="0"/>
          <w:i w:val="0"/>
          <w:sz w:val="22"/>
        </w:rPr>
        <w:t>Получите согласования и разрешения, необходимые именно для вашего объекта: отклонение от предельных параметров, согласование архитектурно-градостроительного облика, согласие правообладателей и иные документы.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6. </w:t>
      </w:r>
      <w:r>
        <w:rPr>
          <w:rFonts w:ascii="Times New Roman" w:hAnsi="Times New Roman" w:eastAsia="Times New Roman"/>
          <w:b w:val="0"/>
          <w:i w:val="0"/>
          <w:sz w:val="22"/>
        </w:rPr>
        <w:t>Подайте заявление через ЕПГУ, региональный портал, МФЦ либо непосредственно в уполномоченный орган - в зависимости от доступного способа.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7. </w:t>
      </w:r>
      <w:r>
        <w:rPr>
          <w:rFonts w:ascii="Times New Roman" w:hAnsi="Times New Roman" w:eastAsia="Times New Roman"/>
          <w:b w:val="0"/>
          <w:i w:val="0"/>
          <w:sz w:val="22"/>
        </w:rPr>
        <w:t>Отслеживайте межведомственные запросы и оперативно устраняйте формальные недостатки, если орган направил соответствующее уведомление.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8. </w:t>
      </w:r>
      <w:r>
        <w:rPr>
          <w:rFonts w:ascii="Times New Roman" w:hAnsi="Times New Roman" w:eastAsia="Times New Roman"/>
          <w:b w:val="0"/>
          <w:i w:val="0"/>
          <w:sz w:val="22"/>
        </w:rPr>
        <w:t>После получения разрешения проверьте объект, сроки действия, этапы строительства и сведения о застройщике.</w:t>
      </w:r>
    </w:p>
    <w:p>
      <w:pPr>
        <w:pStyle w:val="Heading1"/>
      </w:pPr>
      <w:r>
        <w:t>3. Основные документы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rPr>
          <w:tblHeader w:val="true"/>
        </w:trPr>
        <w:tc>
          <w:tcPr>
            <w:tcW w:type="dxa" w:w="2835"/>
            <w:shd w:fill="1F4E7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0"/>
              </w:rPr>
              <w:t>Документ</w:t>
            </w:r>
          </w:p>
        </w:tc>
        <w:tc>
          <w:tcPr>
            <w:tcW w:type="dxa" w:w="6803"/>
            <w:shd w:fill="1F4E7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0"/>
              </w:rPr>
              <w:t>Что проверить</w:t>
            </w:r>
          </w:p>
        </w:tc>
      </w:tr>
      <w:tr>
        <w:trPr>
          <w:cantSplit/>
        </w:trP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Заявление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По форме, действующей у уполномоченного органа.</w:t>
            </w:r>
          </w:p>
        </w:tc>
      </w:tr>
      <w:tr>
        <w:trPr>
          <w:cantSplit/>
        </w:trP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Правоустанавливающие документы на участок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Представляются, если сведения отсутствуют в ЕГРН или не могут быть получены межведомственно.</w:t>
            </w:r>
          </w:p>
        </w:tc>
      </w:tr>
      <w:tr>
        <w:trPr>
          <w:cantSplit/>
        </w:trP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ГПЗУ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Используется ГПЗУ, выданный не ранее чем за три года до направления проектной документации на экспертизу или заявления.</w:t>
            </w:r>
          </w:p>
        </w:tc>
      </w:tr>
      <w:tr>
        <w:trPr>
          <w:cantSplit/>
        </w:trP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Материалы проектной документации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объеме, установленном Градостроительным кодексом РФ и особенностями объекта.</w:t>
            </w:r>
          </w:p>
        </w:tc>
      </w:tr>
      <w:tr>
        <w:trPr>
          <w:cantSplit/>
        </w:trP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Положительное заключение экспертизы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Если проектная документация и результаты изысканий подлежат экспертизе.</w:t>
            </w:r>
          </w:p>
        </w:tc>
      </w:tr>
      <w:tr>
        <w:trPr>
          <w:cantSplit/>
        </w:trP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Согласования и согласия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При реконструкции, отклонении от параметров, расположении в специальных зонах и иных предусмотренных законом случаях.</w:t>
            </w:r>
          </w:p>
        </w:tc>
      </w:tr>
      <w:tr>
        <w:trPr>
          <w:cantSplit/>
        </w:trP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Документ о полномочиях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Доверенность или иной документ, если заявление подает представитель.</w:t>
            </w:r>
          </w:p>
        </w:tc>
      </w:tr>
    </w:tbl>
    <w:p/>
    <w:p>
      <w:pPr>
        <w:pStyle w:val="Heading1"/>
      </w:pPr>
      <w:r>
        <w:t>4. Срок и результат</w:t>
      </w:r>
    </w:p>
    <w:p>
      <w:r>
        <w:rPr>
          <w:rFonts w:ascii="Times New Roman" w:hAnsi="Times New Roman" w:eastAsia="Times New Roman"/>
          <w:b w:val="0"/>
          <w:i w:val="0"/>
          <w:sz w:val="23"/>
        </w:rPr>
        <w:t>По общему правилу решение о выдаче разрешения либо об отказе принимается в течение пяти рабочих дней со дня получения заявления. Для отдельных объектов и территорий могут действовать специальные правила.</w:t>
      </w:r>
    </w:p>
    <w:p>
      <w:r>
        <w:rPr>
          <w:rFonts w:ascii="Times New Roman" w:hAnsi="Times New Roman" w:eastAsia="Times New Roman"/>
          <w:b w:val="0"/>
          <w:i w:val="0"/>
          <w:sz w:val="23"/>
        </w:rPr>
        <w:t>Результат: разрешение на строительство в электронной форме либо мотивированный отказ с указанием оснований.</w:t>
      </w:r>
    </w:p>
    <w:p>
      <w:pPr>
        <w:pStyle w:val="Heading1"/>
      </w:pPr>
      <w:r>
        <w:t>5. Типовые причины возврата и отказа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несоответствие вида разрешенного использования земельного участка планируемому объекту;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противоречия между ГПЗУ, проектной документацией и заявленными параметрами;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неполный комплект документов, которые заявитель обязан представить самостоятельно;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отсутствие обязательной экспертизы, согласования или согласия правообладателей;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нарушение ограничений зон с особыми условиями использования территории;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подача заявления ненадлежащим лицом или отсутствие подтвержденных полномочий.</w:t>
      </w:r>
    </w:p>
    <w:p>
      <w:pPr>
        <w:pStyle w:val="Heading1"/>
      </w:pPr>
      <w:r>
        <w:t>6. Если получен отказ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1. </w:t>
      </w:r>
      <w:r>
        <w:rPr>
          <w:rFonts w:ascii="Times New Roman" w:hAnsi="Times New Roman" w:eastAsia="Times New Roman"/>
          <w:b w:val="0"/>
          <w:i w:val="0"/>
          <w:sz w:val="22"/>
        </w:rPr>
        <w:t>Получите полный текст решения и определите, является ли недостаток устранимым.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2. </w:t>
      </w:r>
      <w:r>
        <w:rPr>
          <w:rFonts w:ascii="Times New Roman" w:hAnsi="Times New Roman" w:eastAsia="Times New Roman"/>
          <w:b w:val="0"/>
          <w:i w:val="0"/>
          <w:sz w:val="22"/>
        </w:rPr>
        <w:t>Сопоставьте основание отказа с исчерпывающим перечнем, установленным законом.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3. </w:t>
      </w:r>
      <w:r>
        <w:rPr>
          <w:rFonts w:ascii="Times New Roman" w:hAnsi="Times New Roman" w:eastAsia="Times New Roman"/>
          <w:b w:val="0"/>
          <w:i w:val="0"/>
          <w:sz w:val="22"/>
        </w:rPr>
        <w:t>При устранимом недостатке исправьте документы и подайте заявление повторно.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4. </w:t>
      </w:r>
      <w:r>
        <w:rPr>
          <w:rFonts w:ascii="Times New Roman" w:hAnsi="Times New Roman" w:eastAsia="Times New Roman"/>
          <w:b w:val="0"/>
          <w:i w:val="0"/>
          <w:sz w:val="22"/>
        </w:rPr>
        <w:t>При незаконном отказе используйте досудебное обжалование через ЕПГУ, жалобу вышестоящему органу либо судебное обжалование.</w:t>
      </w:r>
    </w:p>
    <w:p>
      <w:pPr>
        <w:pStyle w:val="Heading1"/>
      </w:pPr>
      <w:r>
        <w:t>7. Чек-лист застройщика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rPr>
          <w:tblHeader w:val="true"/>
        </w:trPr>
        <w:tc>
          <w:tcPr>
            <w:tcW w:type="dxa" w:w="850"/>
            <w:shd w:fill="1F4E7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0"/>
              </w:rPr>
              <w:t>Отметка</w:t>
            </w:r>
          </w:p>
        </w:tc>
        <w:tc>
          <w:tcPr>
            <w:tcW w:type="dxa" w:w="8787"/>
            <w:shd w:fill="1F4E7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0"/>
              </w:rPr>
              <w:t>Контрольный вопрос</w:t>
            </w:r>
          </w:p>
        </w:tc>
      </w:tr>
      <w:tr>
        <w:trPr>
          <w:cantSplit/>
        </w:trPr>
        <w:tc>
          <w:tcPr>
            <w:tcW w:type="dxa" w:w="850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  <w:tc>
          <w:tcPr>
            <w:tcW w:type="dxa" w:w="8787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Право на земельный участок подтверждено и соответствует заявителю.</w:t>
            </w:r>
          </w:p>
        </w:tc>
      </w:tr>
      <w:tr>
        <w:trPr>
          <w:cantSplit/>
        </w:trPr>
        <w:tc>
          <w:tcPr>
            <w:tcW w:type="dxa" w:w="850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  <w:tc>
          <w:tcPr>
            <w:tcW w:type="dxa" w:w="8787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Вид разрешенного использования допускает строительство объекта.</w:t>
            </w:r>
          </w:p>
        </w:tc>
      </w:tr>
      <w:tr>
        <w:trPr>
          <w:cantSplit/>
        </w:trPr>
        <w:tc>
          <w:tcPr>
            <w:tcW w:type="dxa" w:w="850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  <w:tc>
          <w:tcPr>
            <w:tcW w:type="dxa" w:w="8787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ГПЗУ актуален и использован при проектировании.</w:t>
            </w:r>
          </w:p>
        </w:tc>
      </w:tr>
      <w:tr>
        <w:trPr>
          <w:cantSplit/>
        </w:trPr>
        <w:tc>
          <w:tcPr>
            <w:tcW w:type="dxa" w:w="850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  <w:tc>
          <w:tcPr>
            <w:tcW w:type="dxa" w:w="8787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Параметры проекта соответствуют ГПЗУ и правилам землепользования и застройки.</w:t>
            </w:r>
          </w:p>
        </w:tc>
      </w:tr>
      <w:tr>
        <w:trPr>
          <w:cantSplit/>
        </w:trPr>
        <w:tc>
          <w:tcPr>
            <w:tcW w:type="dxa" w:w="850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  <w:tc>
          <w:tcPr>
            <w:tcW w:type="dxa" w:w="8787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Экспертиза и специальные согласования получены, если они обязательны.</w:t>
            </w:r>
          </w:p>
        </w:tc>
      </w:tr>
      <w:tr>
        <w:trPr>
          <w:cantSplit/>
        </w:trPr>
        <w:tc>
          <w:tcPr>
            <w:tcW w:type="dxa" w:w="850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  <w:tc>
          <w:tcPr>
            <w:tcW w:type="dxa" w:w="8787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Электронные документы подписаны надлежащей электронной подписью.</w:t>
            </w:r>
          </w:p>
        </w:tc>
      </w:tr>
      <w:tr>
        <w:trPr>
          <w:cantSplit/>
        </w:trPr>
        <w:tc>
          <w:tcPr>
            <w:tcW w:type="dxa" w:w="850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  <w:tc>
          <w:tcPr>
            <w:tcW w:type="dxa" w:w="8787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Сведения во всех документах совпадают: адрес, кадастровый номер, площадь, этажность, наименование объекта.</w:t>
            </w:r>
          </w:p>
        </w:tc>
      </w:tr>
    </w:tbl>
    <w:p/>
    <w:p>
      <w:pPr>
        <w:pStyle w:val="Heading1"/>
      </w:pPr>
      <w:r>
        <w:t>Куда обращаться и где проверять информацию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rPr>
          <w:tblHeader w:val="true"/>
        </w:trPr>
        <w:tc>
          <w:tcPr>
            <w:tcW w:type="dxa" w:w="3402"/>
            <w:shd w:fill="1F4E7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0"/>
              </w:rPr>
              <w:t>Орган / ресурс</w:t>
            </w:r>
          </w:p>
        </w:tc>
        <w:tc>
          <w:tcPr>
            <w:tcW w:type="dxa" w:w="6236"/>
            <w:shd w:fill="1F4E7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0"/>
              </w:rPr>
              <w:t>Назначение</w:t>
            </w:r>
          </w:p>
        </w:tc>
      </w:tr>
      <w:tr>
        <w:trPr>
          <w:cantSplit/>
        </w:trPr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Уполномоченный орган местного самоуправления / Минстрой КЧР</w:t>
            </w:r>
          </w:p>
        </w:tc>
        <w:tc>
          <w:tcPr>
            <w:tcW w:type="dxa" w:w="6236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Выдача разрешения в пределах установленной компетенции.</w:t>
            </w:r>
          </w:p>
        </w:tc>
      </w:tr>
      <w:tr>
        <w:trPr>
          <w:cantSplit/>
        </w:trPr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Единый портал государственных и муниципальных услуг</w:t>
            </w:r>
          </w:p>
        </w:tc>
        <w:tc>
          <w:tcPr>
            <w:tcW w:type="dxa" w:w="6236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Подача заявления, отслеживание статуса, получение результата и подача жалобы.</w:t>
            </w:r>
          </w:p>
        </w:tc>
      </w:tr>
      <w:tr>
        <w:trPr>
          <w:cantSplit/>
        </w:trPr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МФЦ</w:t>
            </w:r>
          </w:p>
        </w:tc>
        <w:tc>
          <w:tcPr>
            <w:tcW w:type="dxa" w:w="6236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Подача документов, если услуга предоставляется через МФЦ.</w:t>
            </w:r>
          </w:p>
        </w:tc>
      </w:tr>
      <w:tr>
        <w:trPr>
          <w:cantSplit/>
        </w:trPr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АО «Корпорация развития КЧР»</w:t>
            </w:r>
          </w:p>
        </w:tc>
        <w:tc>
          <w:tcPr>
            <w:tcW w:type="dxa" w:w="6236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Навигация инвестора и организационное сопровождение в пределах компетенции.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2F0D9"/>
            <w:tcMar>
              <w:top w:w="100" w:type="dxa"/>
              <w:start w:w="140" w:type="dxa"/>
              <w:bottom w:w="100" w:type="dxa"/>
              <w:end w:w="140" w:type="dxa"/>
            </w:tcMar>
          </w:tcPr>
          <w:p>
            <w:r>
              <w:rPr>
                <w:rFonts w:ascii="Times New Roman" w:hAnsi="Times New Roman" w:eastAsia="Times New Roman"/>
                <w:b/>
                <w:i w:val="0"/>
                <w:color w:val="548235"/>
                <w:sz w:val="21"/>
              </w:rPr>
              <w:t xml:space="preserve">Для публикации: </w:t>
            </w: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до размещения памятки необходимо дополнить таблицу актуальными адресами, телефонами, режимом приема, ссылками на региональные формы услуг и QR-кодами.</w:t>
            </w:r>
          </w:p>
        </w:tc>
      </w:tr>
    </w:tbl>
    <w:p/>
    <w:p>
      <w:pPr>
        <w:pStyle w:val="Heading1"/>
      </w:pPr>
      <w:r>
        <w:t>Нормативная основа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Градостроительный кодекс Российской Федерации, в том числе статья 51.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Земельный кодекс Российской Федерации.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Федеральный закон от 13 июля 2015 г. № 218-ФЗ «О государственной регистрации недвижимости».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Постановление Правительства РФ от 16 февраля 2008 г. № 87 «О составе разделов проектной документации и требованиях к их содержанию».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Региональные и муниципальные административные регламенты предоставления услуги.</w:t>
      </w:r>
    </w:p>
    <w:p>
      <w:r>
        <w:rPr>
          <w:rFonts w:ascii="Times New Roman" w:hAnsi="Times New Roman" w:eastAsia="Times New Roman"/>
          <w:b/>
          <w:i w:val="0"/>
          <w:sz w:val="19"/>
        </w:rPr>
        <w:t xml:space="preserve">Примечание: </w:t>
      </w:r>
      <w:r>
        <w:rPr>
          <w:rFonts w:ascii="Times New Roman" w:hAnsi="Times New Roman" w:eastAsia="Times New Roman"/>
          <w:b w:val="0"/>
          <w:i/>
          <w:sz w:val="19"/>
        </w:rPr>
        <w:t>при применении памятки после даты ее актуализации необходимо проверить действующую редакцию нормативных правовых актов и региональных административных регламентов.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2F0D9"/>
            <w:tcMar>
              <w:top w:w="100" w:type="dxa"/>
              <w:start w:w="140" w:type="dxa"/>
              <w:bottom w:w="100" w:type="dxa"/>
              <w:end w:w="140" w:type="dxa"/>
            </w:tcMar>
          </w:tcPr>
          <w:p>
            <w:r>
              <w:rPr>
                <w:rFonts w:ascii="Times New Roman" w:hAnsi="Times New Roman" w:eastAsia="Times New Roman"/>
                <w:b/>
                <w:i w:val="0"/>
                <w:color w:val="548235"/>
                <w:sz w:val="21"/>
              </w:rPr>
              <w:t xml:space="preserve">Контроль актуальности: </w:t>
            </w: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градостроительное законодательство внесены изменения, часть которых вступает в силу с 1 сентября 2026 г. Перед публикацией памятки после этой даты текст необходимо повторно проверить.</w:t>
            </w:r>
          </w:p>
        </w:tc>
      </w:tr>
    </w:tbl>
    <w:p/>
    <w:p>
      <w:pPr>
        <w:spacing w:before="200"/>
        <w:jc w:val="center"/>
      </w:pPr>
      <w:r>
        <w:rPr>
          <w:rFonts w:ascii="Times New Roman" w:hAnsi="Times New Roman" w:eastAsia="Times New Roman"/>
          <w:b w:val="0"/>
          <w:i/>
          <w:color w:val="404040"/>
          <w:sz w:val="19"/>
        </w:rPr>
        <w:t>Материал носит информационный характер и не заменяет индивидуальную правовую консультацию.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850" w:bottom="964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 w:val="0"/>
        <w:color w:val="404040"/>
        <w:sz w:val="18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i w:val="0"/>
        <w:color w:val="1F4E78"/>
        <w:sz w:val="18"/>
      </w:rPr>
      <w:t>АО «Корпорация развития Карачаево-Черкесской Республики»</w:t>
    </w:r>
  </w:p>
  <w:p>
    <w:pPr>
      <w:spacing w:after="0"/>
      <w:jc w:val="center"/>
      <w:pBdr>
        <w:bottom w:val="single" w:sz="4" w:space="1" w:color="A6A6A6"/>
      </w:pBdr>
    </w:pPr>
    <w:r>
      <w:rPr>
        <w:rFonts w:ascii="Times New Roman" w:hAnsi="Times New Roman" w:eastAsia="Times New Roman"/>
        <w:b w:val="0"/>
        <w:i/>
        <w:color w:val="404040"/>
        <w:sz w:val="17"/>
      </w:rPr>
      <w:t>Пункт 4. Разрешение на строительство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80"/>
      <w:jc w:val="both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4E7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04040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0404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F4E78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mpactBullet">
    <w:name w:val="Compact Bullet"/>
    <w:basedOn w:val="Normal"/>
    <w:pPr>
      <w:spacing w:after="40"/>
      <w:ind w:left="369" w:hanging="198"/>
    </w:pPr>
  </w:style>
  <w:style w:type="paragraph" w:customStyle="1" w:styleId="CompactNumber">
    <w:name w:val="Compact Number"/>
    <w:basedOn w:val="Normal"/>
    <w:pPr>
      <w:spacing w:after="40"/>
      <w:ind w:left="425" w:hanging="283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Пункт 4. Разрешение на строительство</dc:title>
  <dc:subject>План мероприятий («дорожная карта») по улучшению условий ведения бизнеса на территории Карачаево-Черкесской Республики, утвержденный Указом Главы Карачаево-Черкесской Республики от 6 февраля 2026 г. № 12</dc:subject>
  <dc:creator>АО «Корпорация развития Карачаево-Черкесской Республики»</dc:creator>
  <cp:keywords>КЧР; дорожная карта; бизнес; памятка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