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Times New Roman" w:hAnsi="Times New Roman" w:eastAsia="Times New Roman"/>
          <w:b/>
          <w:sz w:val="22"/>
        </w:rPr>
        <w:t>Приложение № 3</w:t>
      </w:r>
    </w:p>
    <w:p>
      <w:pPr>
        <w:spacing w:after="60"/>
        <w:jc w:val="cent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>АО «КОРПОРАЦИЯ РАЗВИТИЯ КАРАЧАЕВО-ЧЕРКЕССКОЙ РЕСПУБЛИКИ»</w:t>
      </w:r>
    </w:p>
    <w:p>
      <w:pPr>
        <w:pStyle w:val="Title"/>
        <w:jc w:val="center"/>
      </w:pPr>
      <w:r>
        <w:rPr>
          <w:rFonts w:ascii="Times New Roman" w:hAnsi="Times New Roman" w:eastAsia="Times New Roman"/>
          <w:b/>
          <w:i w:val="0"/>
          <w:color w:val="1F4E78"/>
          <w:sz w:val="34"/>
        </w:rPr>
        <w:t>ГОСУДАРСТВЕННАЯ РЕГИСТРАЦИЯ ПРАВ НА НЕДВИЖИМОСТЬ</w:t>
      </w:r>
    </w:p>
    <w:p>
      <w:pPr>
        <w:jc w:val="center"/>
      </w:pPr>
      <w:r>
        <w:rPr>
          <w:rFonts w:ascii="Times New Roman" w:hAnsi="Times New Roman" w:eastAsia="Times New Roman"/>
          <w:b w:val="0"/>
          <w:i/>
          <w:color w:val="404040"/>
          <w:sz w:val="24"/>
        </w:rPr>
        <w:t>Информационная памятка для субъектов предпринимательства</w:t>
      </w:r>
    </w:p>
    <w:p>
      <w:pPr>
        <w:jc w:val="center"/>
      </w:pPr>
      <w:r>
        <w:rPr>
          <w:rFonts w:ascii="Times New Roman" w:hAnsi="Times New Roman" w:eastAsia="Times New Roman"/>
          <w:b/>
          <w:i w:val="0"/>
          <w:sz w:val="21"/>
        </w:rPr>
        <w:t>Подготовлено во исполнение пункта 15 дорожной карты</w:t>
      </w:r>
    </w:p>
    <w:p>
      <w:pPr>
        <w:jc w:val="center"/>
      </w:pPr>
      <w:r>
        <w:rPr>
          <w:rFonts w:ascii="Times New Roman" w:hAnsi="Times New Roman" w:eastAsia="Times New Roman"/>
          <w:b w:val="0"/>
          <w:i/>
          <w:color w:val="404040"/>
          <w:sz w:val="20"/>
        </w:rPr>
        <w:t>Информация актуальна по состоянию на 15 июля 2026 г.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D9EAF7"/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/>
                <w:i w:val="0"/>
                <w:color w:val="1F4E78"/>
                <w:sz w:val="21"/>
              </w:rPr>
              <w:t xml:space="preserve">Важно: 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памятка содержит общий алгоритм. Конкретный состав документов зависит от вида объекта, параметров проекта, правового режима территории и требований уполномоченного органа. Перед подачей заявления необходимо проверить актуальную форму услуги и административный регламент.</w:t>
            </w:r>
          </w:p>
        </w:tc>
      </w:tr>
    </w:tbl>
    <w:p/>
    <w:p>
      <w:pPr>
        <w:pStyle w:val="Heading1"/>
      </w:pPr>
      <w:r>
        <w:t>1. Что подлежит регистрации</w:t>
      </w:r>
    </w:p>
    <w:p>
      <w:r>
        <w:rPr>
          <w:rFonts w:ascii="Times New Roman" w:hAnsi="Times New Roman" w:eastAsia="Times New Roman"/>
          <w:b w:val="0"/>
          <w:i w:val="0"/>
          <w:sz w:val="23"/>
        </w:rPr>
        <w:t>Государственная регистрация подтверждает возникновение, переход, ограничение или прекращение права на объект недвижимости. До подачи документов необходимо проверить наличие объекта в ЕГРН, его характеристики и полномочия сторон сделки.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FC7CE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rFonts w:ascii="Times New Roman" w:hAnsi="Times New Roman" w:eastAsia="Times New Roman"/>
                <w:b/>
                <w:i w:val="0"/>
                <w:color w:val="9C0006"/>
                <w:sz w:val="21"/>
              </w:rPr>
              <w:t xml:space="preserve">Для юридических лиц: 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заявления и прилагаемые документы по общему правилу направляются в электронном виде. Исключения определяются Федеральным законом № 218-ФЗ, в том числе для отдельных сделок с участием граждан.</w:t>
            </w:r>
          </w:p>
        </w:tc>
      </w:tr>
    </w:tbl>
    <w:p/>
    <w:p>
      <w:pPr>
        <w:pStyle w:val="Heading1"/>
      </w:pPr>
      <w:r>
        <w:t>2. Пошаговый порядок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1. </w:t>
      </w:r>
      <w:r>
        <w:rPr>
          <w:rFonts w:ascii="Times New Roman" w:hAnsi="Times New Roman" w:eastAsia="Times New Roman"/>
          <w:b w:val="0"/>
          <w:i w:val="0"/>
          <w:sz w:val="22"/>
        </w:rPr>
        <w:t>Получите актуальную выписку из ЕГРН и проверьте собственника, характеристики объекта, ограничения, аресты и запреты.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2. </w:t>
      </w:r>
      <w:r>
        <w:rPr>
          <w:rFonts w:ascii="Times New Roman" w:hAnsi="Times New Roman" w:eastAsia="Times New Roman"/>
          <w:b w:val="0"/>
          <w:i w:val="0"/>
          <w:sz w:val="22"/>
        </w:rPr>
        <w:t>Определите основание регистрации: договор, акт органа власти, судебный акт, реорганизация, наследование или иной юридический факт.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3. </w:t>
      </w:r>
      <w:r>
        <w:rPr>
          <w:rFonts w:ascii="Times New Roman" w:hAnsi="Times New Roman" w:eastAsia="Times New Roman"/>
          <w:b w:val="0"/>
          <w:i w:val="0"/>
          <w:sz w:val="22"/>
        </w:rPr>
        <w:t>Проверьте корпоративные одобрения, полномочия подписантов, согласия и преимущественные права третьих лиц.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4. </w:t>
      </w:r>
      <w:r>
        <w:rPr>
          <w:rFonts w:ascii="Times New Roman" w:hAnsi="Times New Roman" w:eastAsia="Times New Roman"/>
          <w:b w:val="0"/>
          <w:i w:val="0"/>
          <w:sz w:val="22"/>
        </w:rPr>
        <w:t>Подготовьте электронные документы в установленном формате и подпишите усиленной квалифицированной электронной подписью.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5. </w:t>
      </w:r>
      <w:r>
        <w:rPr>
          <w:rFonts w:ascii="Times New Roman" w:hAnsi="Times New Roman" w:eastAsia="Times New Roman"/>
          <w:b w:val="0"/>
          <w:i w:val="0"/>
          <w:sz w:val="22"/>
        </w:rPr>
        <w:t>Уплатите государственную пошлину в надлежащем размере, если льгота не применяется.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6. </w:t>
      </w:r>
      <w:r>
        <w:rPr>
          <w:rFonts w:ascii="Times New Roman" w:hAnsi="Times New Roman" w:eastAsia="Times New Roman"/>
          <w:b w:val="0"/>
          <w:i w:val="0"/>
          <w:sz w:val="22"/>
        </w:rPr>
        <w:t>Направьте заявление через ЕПГУ, личный кабинет Росреестра либо иной предусмотренный канал.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7. </w:t>
      </w:r>
      <w:r>
        <w:rPr>
          <w:rFonts w:ascii="Times New Roman" w:hAnsi="Times New Roman" w:eastAsia="Times New Roman"/>
          <w:b w:val="0"/>
          <w:i w:val="0"/>
          <w:sz w:val="22"/>
        </w:rPr>
        <w:t>Отслеживайте уведомления о приостановлении; представьте недостающие документы или мотивированные пояснения в установленный срок.</w:t>
      </w:r>
    </w:p>
    <w:p>
      <w:pPr>
        <w:pStyle w:val="CompactNumber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8. </w:t>
      </w:r>
      <w:r>
        <w:rPr>
          <w:rFonts w:ascii="Times New Roman" w:hAnsi="Times New Roman" w:eastAsia="Times New Roman"/>
          <w:b w:val="0"/>
          <w:i w:val="0"/>
          <w:sz w:val="22"/>
        </w:rPr>
        <w:t>После регистрации получите электронную выписку из ЕГРН и проверьте внесенные сведения.</w:t>
      </w:r>
    </w:p>
    <w:p>
      <w:pPr>
        <w:pStyle w:val="Heading1"/>
      </w:pPr>
      <w:r>
        <w:t>3. Комплект документов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2835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Документ</w:t>
            </w:r>
          </w:p>
        </w:tc>
        <w:tc>
          <w:tcPr>
            <w:tcW w:type="dxa" w:w="6803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Практическая проверка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Заявление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Сведения о заявителе, объекте, виде регистрационного действия и способе получения результата.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Документ-основание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Договор, передаточный акт, акт органа власти, судебный акт или иной документ, отвечающий требованиям закона.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Документ о полномочиях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Доверенность, приказ, протокол или сведения ЕГРЮЛ; полномочия должны охватывать конкретное действие.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Корпоративные решения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Одобрение крупной сделки, сделки с заинтересованностью или иное решение - если требуется законом и уставом.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Кадастровые документы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Технический или межевой план - если регистрация проводится одновременно с кадастровым учетом.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Согласия и уведомления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Согласие залогодержателя, супруга, собственника, органов опеки, подтверждение соблюдения преимущественного права - в применимых случаях.</w:t>
            </w:r>
          </w:p>
        </w:tc>
      </w:tr>
      <w:tr>
        <w:trPr>
          <w:cantSplit/>
        </w:trP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Платежный документ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Проверить КБК, плательщика, назначение и размер государственной пошлины.</w:t>
            </w:r>
          </w:p>
        </w:tc>
      </w:tr>
    </w:tbl>
    <w:p/>
    <w:p>
      <w:pPr>
        <w:pStyle w:val="Heading1"/>
      </w:pPr>
      <w:r>
        <w:t>4. Основные сроки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5102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Процедура</w:t>
            </w:r>
          </w:p>
        </w:tc>
        <w:tc>
          <w:tcPr>
            <w:tcW w:type="dxa" w:w="4535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Общий срок</w:t>
            </w:r>
          </w:p>
        </w:tc>
      </w:tr>
      <w:tr>
        <w:trPr>
          <w:cantSplit/>
        </w:trPr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Государственная регистрация права при обращении напрямую</w:t>
            </w:r>
          </w:p>
        </w:tc>
        <w:tc>
          <w:tcPr>
            <w:tcW w:type="dxa" w:w="45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7 рабочих дней.</w:t>
            </w:r>
          </w:p>
        </w:tc>
      </w:tr>
      <w:tr>
        <w:trPr>
          <w:cantSplit/>
        </w:trPr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Государственная регистрация через МФЦ</w:t>
            </w:r>
          </w:p>
        </w:tc>
        <w:tc>
          <w:tcPr>
            <w:tcW w:type="dxa" w:w="45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9 рабочих дней.</w:t>
            </w:r>
          </w:p>
        </w:tc>
      </w:tr>
      <w:tr>
        <w:trPr>
          <w:cantSplit/>
        </w:trPr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Кадастровый учет при обращении напрямую</w:t>
            </w:r>
          </w:p>
        </w:tc>
        <w:tc>
          <w:tcPr>
            <w:tcW w:type="dxa" w:w="45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5 рабочих дней.</w:t>
            </w:r>
          </w:p>
        </w:tc>
      </w:tr>
      <w:tr>
        <w:trPr>
          <w:cantSplit/>
        </w:trPr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Кадастровый учет через МФЦ</w:t>
            </w:r>
          </w:p>
        </w:tc>
        <w:tc>
          <w:tcPr>
            <w:tcW w:type="dxa" w:w="45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7 рабочих дней.</w:t>
            </w:r>
          </w:p>
        </w:tc>
      </w:tr>
      <w:tr>
        <w:trPr>
          <w:cantSplit/>
        </w:trPr>
        <w:tc>
          <w:tcPr>
            <w:tcW w:type="dxa" w:w="51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Одновременный кадастровый учет и регистрация</w:t>
            </w:r>
          </w:p>
        </w:tc>
        <w:tc>
          <w:tcPr>
            <w:tcW w:type="dxa" w:w="45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10 рабочих дней напрямую либо 12 рабочих дней через МФЦ.</w:t>
            </w:r>
          </w:p>
        </w:tc>
      </w:tr>
    </w:tbl>
    <w:p/>
    <w:p>
      <w:r>
        <w:rPr>
          <w:rFonts w:ascii="Times New Roman" w:hAnsi="Times New Roman" w:eastAsia="Times New Roman"/>
          <w:b w:val="0"/>
          <w:i w:val="0"/>
          <w:sz w:val="23"/>
        </w:rPr>
        <w:t>Для отдельных оснований и видов регистрационных действий законом установлены специальные сроки.</w:t>
      </w:r>
    </w:p>
    <w:p>
      <w:pPr>
        <w:pStyle w:val="Heading1"/>
      </w:pPr>
      <w:r>
        <w:t>5. Типовые основания приостановления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противоречия между заявленными и зарегистрированными правами;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несовпадение характеристик объекта в договоре, ЕГРН и технических документах;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отсутствие обязательного согласия или корпоративного решения;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ненадлежащая электронная подпись либо неподдерживаемый формат файла;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сомнения в полномочиях представителя или подписанта;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наличие запрета, ареста, судебного спора или ранее поданного заявления;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непредставление документа, который не может быть получен межведомственно.</w:t>
      </w:r>
    </w:p>
    <w:p>
      <w:pPr>
        <w:pStyle w:val="Heading1"/>
      </w:pPr>
      <w:r>
        <w:t>6. Чек-лист перед подачей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850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Отметка</w:t>
            </w:r>
          </w:p>
        </w:tc>
        <w:tc>
          <w:tcPr>
            <w:tcW w:type="dxa" w:w="8787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Контрольный вопрос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Объект и правообладатель проверены по актуальной выписке ЕГРН.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Документ-основание подписан уполномоченными лицами.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Цена, предмет, кадастровый номер и характеристики объекта согласованы во всех документах.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Получены обязательные согласия и корпоративные одобрения.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УКЭП действительна; полномочия владельца подписи подтверждены.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Государственная пошлина уплачена надлежащим плательщиком.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☐</w:t>
            </w:r>
          </w:p>
        </w:tc>
        <w:tc>
          <w:tcPr>
            <w:tcW w:type="dxa" w:w="878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Сформирован архив поданных документов и квитанций о приеме.</w:t>
            </w:r>
          </w:p>
        </w:tc>
      </w:tr>
    </w:tbl>
    <w:p/>
    <w:p>
      <w:pPr>
        <w:pStyle w:val="Heading1"/>
      </w:pPr>
      <w:r>
        <w:t>Куда обращаться и где проверять информацию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3402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Орган / ресурс</w:t>
            </w:r>
          </w:p>
        </w:tc>
        <w:tc>
          <w:tcPr>
            <w:tcW w:type="dxa" w:w="6236"/>
            <w:shd w:fill="1F4E7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Росреестр / Управление Росреестра по КЧР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Государственная регистрация прав и разъяснение порядка предоставления услуги.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ЕПГУ и личный кабинет Росреестра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Электронная подача и отслеживание заявления.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МФЦ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Прием документов в случаях, когда бумажная подача допускается законом.</w:t>
            </w:r>
          </w:p>
        </w:tc>
      </w:tr>
      <w:tr>
        <w:trPr>
          <w:cantSplit/>
        </w:trPr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АО «Корпорация развития КЧР»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Организационное сопровождение инвестиционных проектов.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2F0D9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rFonts w:ascii="Times New Roman" w:hAnsi="Times New Roman" w:eastAsia="Times New Roman"/>
                <w:b/>
                <w:i w:val="0"/>
                <w:color w:val="548235"/>
                <w:sz w:val="21"/>
              </w:rPr>
              <w:t xml:space="preserve">Для публикации: 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до размещения памятки необходимо дополнить таблицу актуальными адресами, телефонами, режимом приема, ссылками на региональные формы услуг и QR-кодами.</w:t>
            </w:r>
          </w:p>
        </w:tc>
      </w:tr>
    </w:tbl>
    <w:p/>
    <w:p>
      <w:pPr>
        <w:pStyle w:val="Heading1"/>
      </w:pPr>
      <w:r>
        <w:t>Нормативная основа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Гражданский кодекс Российской Федерации.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Федеральный закон от 13 июля 2015 г. № 218-ФЗ «О государственной регистрации недвижимости».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Налоговый кодекс Российской Федерации в части государственной пошлины.</w:t>
      </w:r>
    </w:p>
    <w:p>
      <w:pPr>
        <w:pStyle w:val="CompactBullet"/>
      </w:pPr>
      <w:r>
        <w:rPr>
          <w:rFonts w:ascii="Times New Roman" w:hAnsi="Times New Roman" w:eastAsia="Times New Roman"/>
          <w:b/>
          <w:i w:val="0"/>
          <w:color w:val="1F4E78"/>
          <w:sz w:val="22"/>
        </w:rPr>
        <w:t xml:space="preserve">• </w:t>
      </w:r>
      <w:r>
        <w:rPr>
          <w:rFonts w:ascii="Times New Roman" w:hAnsi="Times New Roman" w:eastAsia="Times New Roman"/>
          <w:b w:val="0"/>
          <w:i w:val="0"/>
          <w:sz w:val="22"/>
        </w:rPr>
        <w:t>Земельный кодекс Российской Федерации и иные специальные федеральные законы - в зависимости от объекта и основания сделки.</w:t>
      </w:r>
    </w:p>
    <w:p>
      <w:r>
        <w:rPr>
          <w:rFonts w:ascii="Times New Roman" w:hAnsi="Times New Roman" w:eastAsia="Times New Roman"/>
          <w:b/>
          <w:i w:val="0"/>
          <w:sz w:val="19"/>
        </w:rPr>
        <w:t xml:space="preserve">Примечание: </w:t>
      </w:r>
      <w:r>
        <w:rPr>
          <w:rFonts w:ascii="Times New Roman" w:hAnsi="Times New Roman" w:eastAsia="Times New Roman"/>
          <w:b w:val="0"/>
          <w:i/>
          <w:sz w:val="19"/>
        </w:rPr>
        <w:t>при применении памятки после даты ее актуализации необходимо проверить действующую редакцию нормативных правовых актов и региональных административных регламентов.</w:t>
      </w:r>
    </w:p>
    <w:p>
      <w:pPr>
        <w:spacing w:before="200"/>
        <w:jc w:val="center"/>
      </w:pPr>
      <w:r>
        <w:rPr>
          <w:rFonts w:ascii="Times New Roman" w:hAnsi="Times New Roman" w:eastAsia="Times New Roman"/>
          <w:b w:val="0"/>
          <w:i/>
          <w:color w:val="404040"/>
          <w:sz w:val="19"/>
        </w:rPr>
        <w:t>Материал носит информационный характер и не заменяет индивидуальную правовую консультацию.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850" w:bottom="964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404040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i w:val="0"/>
        <w:color w:val="1F4E78"/>
        <w:sz w:val="18"/>
      </w:rPr>
      <w:t>АО «Корпорация развития Карачаево-Черкесской Республики»</w:t>
    </w:r>
  </w:p>
  <w:p>
    <w:pPr>
      <w:spacing w:after="0"/>
      <w:jc w:val="center"/>
      <w:pBdr>
        <w:bottom w:val="single" w:sz="4" w:space="1" w:color="A6A6A6"/>
      </w:pBdr>
    </w:pPr>
    <w:r>
      <w:rPr>
        <w:rFonts w:ascii="Times New Roman" w:hAnsi="Times New Roman" w:eastAsia="Times New Roman"/>
        <w:b w:val="0"/>
        <w:i/>
        <w:color w:val="404040"/>
        <w:sz w:val="17"/>
      </w:rPr>
      <w:t>Пункт 15. Регистрация прав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80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04040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0404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F4E78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mpactBullet">
    <w:name w:val="Compact Bullet"/>
    <w:basedOn w:val="Normal"/>
    <w:pPr>
      <w:spacing w:after="40"/>
      <w:ind w:left="369" w:hanging="198"/>
    </w:pPr>
  </w:style>
  <w:style w:type="paragraph" w:customStyle="1" w:styleId="CompactNumber">
    <w:name w:val="Compact Number"/>
    <w:basedOn w:val="Normal"/>
    <w:pPr>
      <w:spacing w:after="40"/>
      <w:ind w:left="425" w:hanging="283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Пункт 15. Регистрация прав</dc:title>
  <dc:subject>План мероприятий («дорожная карта») по улучшению условий ведения бизнеса на территории Карачаево-Черкесской Республики, утвержденный Указом Главы Карачаево-Черкесской Республики от 6 февраля 2026 г. № 12</dc:subject>
  <dc:creator>АО «Корпорация развития Карачаево-Черкесской Республики»</dc:creator>
  <cp:keywords>КЧР; дорожная карта; бизнес; памятка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