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 w:eastAsia="Times New Roman"/>
          <w:b/>
          <w:sz w:val="22"/>
        </w:rPr>
        <w:t>Приложение № 5</w:t>
      </w:r>
    </w:p>
    <w:p>
      <w:pPr>
        <w:spacing w:after="60"/>
        <w:jc w:val="cent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>АО «КОРПОРАЦИЯ РАЗВИТИЯ КАРАЧАЕВО-ЧЕРКЕССКОЙ РЕСПУБЛИКИ»</w:t>
      </w:r>
    </w:p>
    <w:p>
      <w:pPr>
        <w:pStyle w:val="Title"/>
        <w:jc w:val="center"/>
      </w:pPr>
      <w:r>
        <w:rPr>
          <w:rFonts w:ascii="Times New Roman" w:hAnsi="Times New Roman" w:eastAsia="Times New Roman"/>
          <w:b/>
          <w:i w:val="0"/>
          <w:color w:val="1F4E78"/>
          <w:sz w:val="34"/>
        </w:rPr>
        <w:t>ТЕХНОЛОГИЧЕСКОЕ ПРИСОЕДИНЕНИЕ К ЭЛЕКТРИЧЕСКИМ СЕТЯМ</w:t>
      </w:r>
    </w:p>
    <w:p>
      <w:pPr>
        <w:jc w:val="center"/>
      </w:pPr>
      <w:r>
        <w:rPr>
          <w:rFonts w:ascii="Times New Roman" w:hAnsi="Times New Roman" w:eastAsia="Times New Roman"/>
          <w:b w:val="0"/>
          <w:i/>
          <w:color w:val="404040"/>
          <w:sz w:val="24"/>
        </w:rPr>
        <w:t>Информационная памятка для субъектов предпринимательства</w:t>
      </w:r>
    </w:p>
    <w:p>
      <w:pPr>
        <w:jc w:val="center"/>
      </w:pPr>
      <w:r>
        <w:rPr>
          <w:rFonts w:ascii="Times New Roman" w:hAnsi="Times New Roman" w:eastAsia="Times New Roman"/>
          <w:b/>
          <w:i w:val="0"/>
          <w:sz w:val="21"/>
        </w:rPr>
        <w:t>Подготовлено во исполнение пункта 21 дорожной карты</w:t>
      </w:r>
    </w:p>
    <w:p>
      <w:pPr>
        <w:jc w:val="center"/>
      </w:pPr>
      <w:r>
        <w:rPr>
          <w:rFonts w:ascii="Times New Roman" w:hAnsi="Times New Roman" w:eastAsia="Times New Roman"/>
          <w:b w:val="0"/>
          <w:i/>
          <w:color w:val="404040"/>
          <w:sz w:val="20"/>
        </w:rPr>
        <w:t>Информация актуальна по состоянию на 15 июля 2026 г.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D9EAF7"/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/>
                <w:i w:val="0"/>
                <w:color w:val="1F4E78"/>
                <w:sz w:val="21"/>
              </w:rPr>
              <w:t xml:space="preserve">Важно: 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памятка содержит общий алгоритм. Конкретный состав документов зависит от вида объекта, параметров проекта, правового режима территории и требований уполномоченного органа. Перед подачей заявления необходимо проверить актуальную форму услуги и административный регламент.</w:t>
            </w:r>
          </w:p>
        </w:tc>
      </w:tr>
    </w:tbl>
    <w:p/>
    <w:p>
      <w:pPr>
        <w:pStyle w:val="Heading1"/>
      </w:pPr>
      <w:r>
        <w:t>1. С чего начать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определите местоположение энергопринимающих устройств и правовое основание использования земельного участка или объекта;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рассчитайте максимальную мощность, категорию надежности, характер нагрузки и этапность ввода;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установите, к сетям какой сетевой организации технологически возможно присоединение;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проверьте необходимость нескольких точек присоединения, резервного питания и индивидуальных технических решений.</w:t>
      </w:r>
    </w:p>
    <w:p>
      <w:pPr>
        <w:pStyle w:val="Heading1"/>
      </w:pPr>
      <w:r>
        <w:t>2. Пошаговый алгоритм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1. </w:t>
      </w:r>
      <w:r>
        <w:rPr>
          <w:rFonts w:ascii="Times New Roman" w:hAnsi="Times New Roman" w:eastAsia="Times New Roman"/>
          <w:b w:val="0"/>
          <w:i w:val="0"/>
          <w:sz w:val="22"/>
        </w:rPr>
        <w:t>Подайте заявку в сетевую организацию через ее официальный электронный сервис либо иной предусмотренный способ.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2. </w:t>
      </w:r>
      <w:r>
        <w:rPr>
          <w:rFonts w:ascii="Times New Roman" w:hAnsi="Times New Roman" w:eastAsia="Times New Roman"/>
          <w:b w:val="0"/>
          <w:i w:val="0"/>
          <w:sz w:val="22"/>
        </w:rPr>
        <w:t>Приложите план расположения энергопринимающих устройств, однолинейную схему и иные документы с учетом мощности и категории заявителя.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3. </w:t>
      </w:r>
      <w:r>
        <w:rPr>
          <w:rFonts w:ascii="Times New Roman" w:hAnsi="Times New Roman" w:eastAsia="Times New Roman"/>
          <w:b w:val="0"/>
          <w:i w:val="0"/>
          <w:sz w:val="22"/>
        </w:rPr>
        <w:t>Проверьте проект договора и технические условия: мощность, точки присоединения, границы ответственности, сроки, плату и мероприятия сторон.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4. </w:t>
      </w:r>
      <w:r>
        <w:rPr>
          <w:rFonts w:ascii="Times New Roman" w:hAnsi="Times New Roman" w:eastAsia="Times New Roman"/>
          <w:b w:val="0"/>
          <w:i w:val="0"/>
          <w:sz w:val="22"/>
        </w:rPr>
        <w:t>При наличии разногласий направьте мотивированные замечания до подписания договора.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5. </w:t>
      </w:r>
      <w:r>
        <w:rPr>
          <w:rFonts w:ascii="Times New Roman" w:hAnsi="Times New Roman" w:eastAsia="Times New Roman"/>
          <w:b w:val="0"/>
          <w:i w:val="0"/>
          <w:sz w:val="22"/>
        </w:rPr>
        <w:t>Заключите договор и выполните мероприятия в пределах границ своего земельного участка и эксплуатационной ответственности.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6. </w:t>
      </w:r>
      <w:r>
        <w:rPr>
          <w:rFonts w:ascii="Times New Roman" w:hAnsi="Times New Roman" w:eastAsia="Times New Roman"/>
          <w:b w:val="0"/>
          <w:i w:val="0"/>
          <w:sz w:val="22"/>
        </w:rPr>
        <w:t>Обеспечьте готовность схемы электроснабжения, приборов учета, защиты и допуска персонала, когда это требуется.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7. </w:t>
      </w:r>
      <w:r>
        <w:rPr>
          <w:rFonts w:ascii="Times New Roman" w:hAnsi="Times New Roman" w:eastAsia="Times New Roman"/>
          <w:b w:val="0"/>
          <w:i w:val="0"/>
          <w:sz w:val="22"/>
        </w:rPr>
        <w:t>Сетевая организация выполняет свои мероприятия и оформляет документы о технологическом присоединении.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8. </w:t>
      </w:r>
      <w:r>
        <w:rPr>
          <w:rFonts w:ascii="Times New Roman" w:hAnsi="Times New Roman" w:eastAsia="Times New Roman"/>
          <w:b w:val="0"/>
          <w:i w:val="0"/>
          <w:sz w:val="22"/>
        </w:rPr>
        <w:t>Заключите договор энергоснабжения либо обеспечьте включение объекта в действующий договор.</w:t>
      </w:r>
    </w:p>
    <w:p>
      <w:pPr>
        <w:pStyle w:val="Heading1"/>
      </w:pPr>
      <w:r>
        <w:t>3. Базовые сведения и документы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Сведения / документ</w:t>
            </w:r>
          </w:p>
        </w:tc>
        <w:tc>
          <w:tcPr>
            <w:tcW w:type="dxa" w:w="6803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Что указать или проверить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Реквизиты заявителя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ОГРН, ИНН, адрес, контакты, полномочия подписанта.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Объект и участок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Адрес, кадастровые номера, права на объект и земельный участок.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Максимальная мощность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Существующая, присоединяемая и итоговая мощность; этапы ввода.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Категория надежности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Обоснованная потребностями технологического процесса и безопасностью.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План и схема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Расположение устройств, границы участка, предполагаемая точка присоединения, однолинейная схема - когда требуется.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Доверенность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Полномочия на подачу, согласование, подписание договора и получение документов.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Технические данные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Перечень крупных электроприемников, характер нагрузки и сведения о генерации, если имеется.</w:t>
            </w:r>
          </w:p>
        </w:tc>
      </w:tr>
    </w:tbl>
    <w:p/>
    <w:p>
      <w:pPr>
        <w:pStyle w:val="Heading1"/>
      </w:pPr>
      <w:r>
        <w:t>4. Что проверить в договоре и технических условиях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850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Отметка</w:t>
            </w:r>
          </w:p>
        </w:tc>
        <w:tc>
          <w:tcPr>
            <w:tcW w:type="dxa" w:w="8787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Контрольный вопрос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Максимальная мощность и категория надежности соответствуют заявке.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Точка присоединения и границы балансовой принадлежности определены однозначно.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Мероприятия заявителя не выходят за установленные законом пределы.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Срок технологического присоединения указан и соответствует применимой категории.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Плата рассчитана по действующим тарифным решениям.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Порядок изменения технических условий и ответственности сторон понятен.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Предусмотрено оформление документов о фактическом присоединении и допуске учета.</w:t>
            </w:r>
          </w:p>
        </w:tc>
      </w:tr>
    </w:tbl>
    <w:p/>
    <w:p>
      <w:pPr>
        <w:pStyle w:val="Heading1"/>
      </w:pPr>
      <w:r>
        <w:t>5. Типовые ошибки заявителя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занижение мощности без учета перспективного оборудования;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подача заявки не той сетевой организации;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несовпадение заявителя с правообладателем объекта или участка;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неполная схема расположения устройств и отсутствие этапности;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подписание технических условий без анализа границ и стоимости мероприятий;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нарушение технических условий при проектировании и монтаже;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несвоевременное оформление договора энергоснабжения.</w:t>
      </w:r>
    </w:p>
    <w:p>
      <w:pPr>
        <w:pStyle w:val="Heading1"/>
      </w:pPr>
      <w:r>
        <w:t>Куда обращаться и где проверять информацию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Орган / ресурс</w:t>
            </w:r>
          </w:p>
        </w:tc>
        <w:tc>
          <w:tcPr>
            <w:tcW w:type="dxa" w:w="6236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Филиал ПАО «Россети Северный Кавказ» - «Карачаево-Черкесскэнерго»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Прием заявок и исполнение договора технологического присоединения.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Минпромэнерго КЧР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Отраслевое взаимодействие в пределах компетенции.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Региональный тарифный орган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Информация о регулируемой плате и тарифных решениях.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ЕПГУ / официальный портал технологического присоединения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Электронная подача и отслеживание заявки.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АО «Корпорация развития КЧР»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Организационное сопровождение инвестиционных проектов.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2F0D9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Times New Roman" w:hAnsi="Times New Roman" w:eastAsia="Times New Roman"/>
                <w:b/>
                <w:i w:val="0"/>
                <w:color w:val="548235"/>
                <w:sz w:val="21"/>
              </w:rPr>
              <w:t xml:space="preserve">Для публикации: 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до размещения памятки необходимо дополнить таблицу актуальными адресами, телефонами, режимом приема, ссылками на региональные формы услуг и QR-кодами.</w:t>
            </w:r>
          </w:p>
        </w:tc>
      </w:tr>
    </w:tbl>
    <w:p/>
    <w:p>
      <w:pPr>
        <w:pStyle w:val="Heading1"/>
      </w:pPr>
      <w:r>
        <w:t>Нормативная основа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Федеральный закон от 26 марта 2003 г. № 35-ФЗ «Об электроэнергетике».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Правила технологического присоединения, утвержденные постановлением Правительства РФ от 27 декабря 2004 г. № 861.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Правила недискриминационного доступа к услугам по передаче электрической энергии.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Действующие тарифные решения уполномоченного органа Карачаево-Черкесской Республики.</w:t>
      </w:r>
    </w:p>
    <w:p>
      <w:r>
        <w:rPr>
          <w:rFonts w:ascii="Times New Roman" w:hAnsi="Times New Roman" w:eastAsia="Times New Roman"/>
          <w:b/>
          <w:i w:val="0"/>
          <w:sz w:val="19"/>
        </w:rPr>
        <w:t xml:space="preserve">Примечание: </w:t>
      </w:r>
      <w:r>
        <w:rPr>
          <w:rFonts w:ascii="Times New Roman" w:hAnsi="Times New Roman" w:eastAsia="Times New Roman"/>
          <w:b w:val="0"/>
          <w:i/>
          <w:sz w:val="19"/>
        </w:rPr>
        <w:t>при применении памятки после даты ее актуализации необходимо проверить действующую редакцию нормативных правовых актов и региональных административных регламентов.</w:t>
      </w:r>
    </w:p>
    <w:p>
      <w:pPr>
        <w:spacing w:before="200"/>
        <w:jc w:val="center"/>
      </w:pPr>
      <w:r>
        <w:rPr>
          <w:rFonts w:ascii="Times New Roman" w:hAnsi="Times New Roman" w:eastAsia="Times New Roman"/>
          <w:b w:val="0"/>
          <w:i/>
          <w:color w:val="404040"/>
          <w:sz w:val="19"/>
        </w:rPr>
        <w:t>Материал носит информационный характер и не заменяет индивидуальную правовую консультацию.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850" w:bottom="964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404040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i w:val="0"/>
        <w:color w:val="1F4E78"/>
        <w:sz w:val="18"/>
      </w:rPr>
      <w:t>АО «Корпорация развития Карачаево-Черкесской Республики»</w:t>
    </w:r>
  </w:p>
  <w:p>
    <w:pPr>
      <w:spacing w:after="0"/>
      <w:jc w:val="center"/>
      <w:pBdr>
        <w:bottom w:val="single" w:sz="4" w:space="1" w:color="A6A6A6"/>
      </w:pBdr>
    </w:pPr>
    <w:r>
      <w:rPr>
        <w:rFonts w:ascii="Times New Roman" w:hAnsi="Times New Roman" w:eastAsia="Times New Roman"/>
        <w:b w:val="0"/>
        <w:i/>
        <w:color w:val="404040"/>
        <w:sz w:val="17"/>
      </w:rPr>
      <w:t>Пункт 21. Подключение к электросетям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80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0404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0404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F4E78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mpactBullet">
    <w:name w:val="Compact Bullet"/>
    <w:basedOn w:val="Normal"/>
    <w:pPr>
      <w:spacing w:after="40"/>
      <w:ind w:left="369" w:hanging="198"/>
    </w:pPr>
  </w:style>
  <w:style w:type="paragraph" w:customStyle="1" w:styleId="CompactNumber">
    <w:name w:val="Compact Number"/>
    <w:basedOn w:val="Normal"/>
    <w:pPr>
      <w:spacing w:after="40"/>
      <w:ind w:left="425" w:hanging="283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Пункт 21. Подключение к электросетям</dc:title>
  <dc:subject>План мероприятий («дорожная карта») по улучшению условий ведения бизнеса на территории Карачаево-Черкесской Республики, утвержденный Указом Главы Карачаево-Черкесской Республики от 6 февраля 2026 г. № 12</dc:subject>
  <dc:creator>АО «Корпорация развития Карачаево-Черкесской Республики»</dc:creator>
  <cp:keywords>КЧР; дорожная карта; бизнес; памятка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