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 w:eastAsia="Times New Roman"/>
          <w:b/>
          <w:sz w:val="22"/>
        </w:rPr>
        <w:t>Приложение № 8</w:t>
      </w:r>
    </w:p>
    <w:p>
      <w:pPr>
        <w:spacing w:after="60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>АО «КОРПОРАЦИЯ РАЗВИТИЯ КАРАЧАЕВО-ЧЕРКЕССКОЙ РЕСПУБЛИКИ»</w:t>
      </w:r>
    </w:p>
    <w:p>
      <w:pPr>
        <w:pStyle w:val="Title"/>
        <w:jc w:val="center"/>
      </w:pPr>
      <w:r>
        <w:rPr>
          <w:rFonts w:ascii="Times New Roman" w:hAnsi="Times New Roman" w:eastAsia="Times New Roman"/>
          <w:b/>
          <w:i w:val="0"/>
          <w:color w:val="1F4E78"/>
          <w:sz w:val="34"/>
        </w:rPr>
        <w:t>ПОЛУЧЕНИЕ РАЗРЕШЕНИЯ НА ВВОД ОБЪЕКТА В ЭКСПЛУАТАЦИЮ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24"/>
        </w:rPr>
        <w:t>Информационная памятка для субъектов предпринимательства</w:t>
      </w:r>
    </w:p>
    <w:p>
      <w:pPr>
        <w:jc w:val="center"/>
      </w:pPr>
      <w:r>
        <w:rPr>
          <w:rFonts w:ascii="Times New Roman" w:hAnsi="Times New Roman" w:eastAsia="Times New Roman"/>
          <w:b/>
          <w:i w:val="0"/>
          <w:sz w:val="21"/>
        </w:rPr>
        <w:t>Подготовлено во исполнение пункта 62 дорожной карты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20"/>
        </w:rPr>
        <w:t>Информация актуальна по состоянию на 15 июля 2026 г.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D9EAF7"/>
            <w:tcMar>
              <w:top w:w="110" w:type="dxa"/>
              <w:start w:w="150" w:type="dxa"/>
              <w:bottom w:w="110" w:type="dxa"/>
              <w:end w:w="150" w:type="dxa"/>
            </w:tcMar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/>
                <w:i w:val="0"/>
                <w:color w:val="1F4E78"/>
                <w:sz w:val="21"/>
              </w:rPr>
              <w:t xml:space="preserve">Важно: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памятка содержит общий алгоритм. Конкретный состав документов зависит от вида объекта, параметров проекта, правового режима территории и требований уполномоченного органа. Перед подачей заявления необходимо проверить актуальную форму услуги и административный регламент.</w:t>
            </w:r>
          </w:p>
        </w:tc>
      </w:tr>
    </w:tbl>
    <w:p/>
    <w:p>
      <w:pPr>
        <w:pStyle w:val="Heading1"/>
      </w:pPr>
      <w:r>
        <w:t>1. Когда обращаться</w:t>
      </w:r>
    </w:p>
    <w:p>
      <w:r>
        <w:rPr>
          <w:rFonts w:ascii="Times New Roman" w:hAnsi="Times New Roman" w:eastAsia="Times New Roman"/>
          <w:b w:val="0"/>
          <w:i w:val="0"/>
          <w:sz w:val="23"/>
        </w:rPr>
        <w:t>Заявление подается после завершения строительства или реконструкции и готовности объекта к эксплуатации в соответствии с разрешением на строительство, проектной документацией и обязательными требованиями.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FFC7CE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9C0006"/>
                <w:sz w:val="21"/>
              </w:rPr>
              <w:t xml:space="preserve">Не откладывайте проверку до завершения работ.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Несогласованные отклонения от разрешения, ГПЗУ или проектной документации следует выявлять и оформлять до подачи заявления на ввод.</w:t>
            </w:r>
          </w:p>
        </w:tc>
      </w:tr>
    </w:tbl>
    <w:p/>
    <w:p>
      <w:pPr>
        <w:pStyle w:val="Heading1"/>
      </w:pPr>
      <w:r>
        <w:t>2. Алгоритм подготовки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1. </w:t>
      </w:r>
      <w:r>
        <w:rPr>
          <w:rFonts w:ascii="Times New Roman" w:hAnsi="Times New Roman" w:eastAsia="Times New Roman"/>
          <w:b w:val="0"/>
          <w:i w:val="0"/>
          <w:sz w:val="22"/>
        </w:rPr>
        <w:t>Сверьте фактические характеристики объекта с разрешением на строительство и проектной документацией.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2. </w:t>
      </w:r>
      <w:r>
        <w:rPr>
          <w:rFonts w:ascii="Times New Roman" w:hAnsi="Times New Roman" w:eastAsia="Times New Roman"/>
          <w:b w:val="0"/>
          <w:i w:val="0"/>
          <w:sz w:val="22"/>
        </w:rPr>
        <w:t>Завершите исполнительную документацию, испытания, пусконаладочные работы и устранение замечаний.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3.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документы о соответствии подключенного объекта техническим условиям ресурсоснабжающих организаций.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4. </w:t>
      </w:r>
      <w:r>
        <w:rPr>
          <w:rFonts w:ascii="Times New Roman" w:hAnsi="Times New Roman" w:eastAsia="Times New Roman"/>
          <w:b w:val="0"/>
          <w:i w:val="0"/>
          <w:sz w:val="22"/>
        </w:rPr>
        <w:t>Получите заключение органа государственного строительного надзора, если объект подлежал такому надзору.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5. </w:t>
      </w:r>
      <w:r>
        <w:rPr>
          <w:rFonts w:ascii="Times New Roman" w:hAnsi="Times New Roman" w:eastAsia="Times New Roman"/>
          <w:b w:val="0"/>
          <w:i w:val="0"/>
          <w:sz w:val="22"/>
        </w:rPr>
        <w:t>Подготовьте технический план объекта в электронной форме у кадастрового инженера.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6. </w:t>
      </w:r>
      <w:r>
        <w:rPr>
          <w:rFonts w:ascii="Times New Roman" w:hAnsi="Times New Roman" w:eastAsia="Times New Roman"/>
          <w:b w:val="0"/>
          <w:i w:val="0"/>
          <w:sz w:val="22"/>
        </w:rPr>
        <w:t>Сформируйте заявление и приложите документы, которые закон возлагает на заявителя.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7. </w:t>
      </w:r>
      <w:r>
        <w:rPr>
          <w:rFonts w:ascii="Times New Roman" w:hAnsi="Times New Roman" w:eastAsia="Times New Roman"/>
          <w:b w:val="0"/>
          <w:i w:val="0"/>
          <w:sz w:val="22"/>
        </w:rPr>
        <w:t>Подайте документы через ЕПГУ, региональный портал, МФЦ либо в уполномоченный орган.</w:t>
      </w:r>
    </w:p>
    <w:p>
      <w:pPr>
        <w:pStyle w:val="CompactNumber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8. </w:t>
      </w:r>
      <w:r>
        <w:rPr>
          <w:rFonts w:ascii="Times New Roman" w:hAnsi="Times New Roman" w:eastAsia="Times New Roman"/>
          <w:b w:val="0"/>
          <w:i w:val="0"/>
          <w:sz w:val="22"/>
        </w:rPr>
        <w:t>После получения разрешения проконтролируйте направление документов для кадастрового учета и регистрации прав в предусмотренном порядке.</w:t>
      </w:r>
    </w:p>
    <w:p>
      <w:pPr>
        <w:pStyle w:val="Heading1"/>
      </w:pPr>
      <w:r>
        <w:t>3. Документы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2835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Документ</w:t>
            </w:r>
          </w:p>
        </w:tc>
        <w:tc>
          <w:tcPr>
            <w:tcW w:type="dxa" w:w="6803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Что проверить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Заявление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Реквизиты застройщика, разрешения на строительство и объекта.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Право на земельный участок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Актуальность и соответствие правообладателя.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Акт приемки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Представляется при выполнении работ по договору строительного подряда в предусмотренных случаях.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Документы о соответствии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Подписаны уполномоченными лицами; отражают соответствие проекту и техническим регламентам.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Документы о подключении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Подтверждают выполнение технических условий и готовность инженерных сетей.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Схема расположения объекта и сетей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Соответствует фактическому исполнению.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Заключение строительного надзора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Если объект подлежал государственному строительному надзору.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Технический план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Подготовлен в установленном формате и подписан кадастровым инженером.</w:t>
            </w:r>
          </w:p>
        </w:tc>
      </w:tr>
    </w:tbl>
    <w:p/>
    <w:p>
      <w:pPr>
        <w:pStyle w:val="Heading1"/>
      </w:pPr>
      <w:r>
        <w:t>4. Срок и результат</w:t>
      </w:r>
    </w:p>
    <w:p>
      <w:r>
        <w:rPr>
          <w:rFonts w:ascii="Times New Roman" w:hAnsi="Times New Roman" w:eastAsia="Times New Roman"/>
          <w:b w:val="0"/>
          <w:i w:val="0"/>
          <w:sz w:val="23"/>
        </w:rPr>
        <w:t>По общему правилу уполномоченный орган принимает решение в течение пяти рабочих дней со дня поступления заявления. Результатом является разрешение на ввод объекта в эксплуатацию либо мотивированный отказ.</w:t>
      </w:r>
    </w:p>
    <w:p>
      <w:pPr>
        <w:pStyle w:val="Heading1"/>
      </w:pPr>
      <w:r>
        <w:t>5. Типовые основания отказа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несоответствие объекта разрешению на строительство, ГПЗУ или проектной документации;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отсутствие обязательных документов, заключений или актов;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различия между фактическими характеристиками и техническим планом;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неисполнение технических условий подключения;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неустраненные нарушения, выявленные строительным надзором;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отсутствие полномочий у заявителя или представителя.</w:t>
      </w:r>
    </w:p>
    <w:p>
      <w:pPr>
        <w:pStyle w:val="Heading1"/>
      </w:pPr>
      <w:r>
        <w:t>6. Финальный чек-лист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850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Отметка</w:t>
            </w:r>
          </w:p>
        </w:tc>
        <w:tc>
          <w:tcPr>
            <w:tcW w:type="dxa" w:w="8787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Контрольный вопрос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Фактические параметры объекта совпадают с разрешением и проектом.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Все изменения проектной документации оформлены надлежащим образом.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Исполнительная документация завершена и систематизирована.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Технические условия ресурсоснабжающих организаций выполнены.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Заключение государственного строительного надзора получено, если требуется.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Технический план соответствует фактическому объекту.</w:t>
            </w:r>
          </w:p>
        </w:tc>
      </w:tr>
      <w:tr>
        <w:trPr>
          <w:cantSplit/>
        </w:trPr>
        <w:tc>
          <w:tcPr>
            <w:tcW w:type="dxa" w:w="85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  <w:tc>
          <w:tcPr>
            <w:tcW w:type="dxa" w:w="878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Адрес, наименование, площадь, этажность и назначение совпадают во всех документах.</w:t>
            </w:r>
          </w:p>
        </w:tc>
      </w:tr>
    </w:tbl>
    <w:p/>
    <w:p>
      <w:pPr>
        <w:pStyle w:val="Heading1"/>
      </w:pPr>
      <w:r>
        <w:t>Куда обращаться и где проверять информацию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rPr>
          <w:tblHeader w:val="true"/>
        </w:trPr>
        <w:tc>
          <w:tcPr>
            <w:tcW w:type="dxa" w:w="3402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Орган / ресурс</w:t>
            </w:r>
          </w:p>
        </w:tc>
        <w:tc>
          <w:tcPr>
            <w:tcW w:type="dxa" w:w="6236"/>
            <w:shd w:fill="1F4E7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0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Уполномоченный орган местного самоуправления / Минстрой КЧР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Выдача разрешения на ввод в пределах компетенции.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Орган государственного строительного надзора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Выдача заключения о соответствии для поднадзорных объектов.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Ресурсоснабжающие организации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Документы о выполнении технических условий.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Кадастровый инженер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Подготовка технического плана.</w:t>
            </w:r>
          </w:p>
        </w:tc>
      </w:tr>
      <w:tr>
        <w:trPr>
          <w:cantSplit/>
        </w:trPr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АО «Корпорация развития КЧР»</w:t>
            </w:r>
          </w:p>
        </w:tc>
        <w:tc>
          <w:tcPr>
            <w:tcW w:type="dxa" w:w="623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Организационное сопровождение инвестиционного проекта.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2F0D9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548235"/>
                <w:sz w:val="21"/>
              </w:rPr>
              <w:t xml:space="preserve">Для публикации: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до размещения памятки необходимо дополнить таблицу актуальными адресами, телефонами, режимом приема, ссылками на региональные формы услуг и QR-кодами.</w:t>
            </w:r>
          </w:p>
        </w:tc>
      </w:tr>
    </w:tbl>
    <w:p/>
    <w:p>
      <w:pPr>
        <w:pStyle w:val="Heading1"/>
      </w:pPr>
      <w:r>
        <w:t>Нормативная основа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Градостроительный кодекс Российской Федерации, в том числе статья 55.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Федеральный закон от 13 июля 2015 г. № 218-ФЗ «О государственной регистрации недвижимости».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Технические регламенты и проектная документация объекта.</w:t>
      </w:r>
    </w:p>
    <w:p>
      <w:pPr>
        <w:pStyle w:val="CompactBullet"/>
      </w:pPr>
      <w:r>
        <w:rPr>
          <w:rFonts w:ascii="Times New Roman" w:hAnsi="Times New Roman" w:eastAsia="Times New Roman"/>
          <w:b/>
          <w:i w:val="0"/>
          <w:color w:val="1F4E78"/>
          <w:sz w:val="22"/>
        </w:rPr>
        <w:t xml:space="preserve">• </w:t>
      </w:r>
      <w:r>
        <w:rPr>
          <w:rFonts w:ascii="Times New Roman" w:hAnsi="Times New Roman" w:eastAsia="Times New Roman"/>
          <w:b w:val="0"/>
          <w:i w:val="0"/>
          <w:sz w:val="22"/>
        </w:rPr>
        <w:t>Региональный или муниципальный административный регламент предоставления услуги.</w:t>
      </w:r>
    </w:p>
    <w:p>
      <w:r>
        <w:rPr>
          <w:rFonts w:ascii="Times New Roman" w:hAnsi="Times New Roman" w:eastAsia="Times New Roman"/>
          <w:b/>
          <w:i w:val="0"/>
          <w:sz w:val="19"/>
        </w:rPr>
        <w:t xml:space="preserve">Примечание: </w:t>
      </w:r>
      <w:r>
        <w:rPr>
          <w:rFonts w:ascii="Times New Roman" w:hAnsi="Times New Roman" w:eastAsia="Times New Roman"/>
          <w:b w:val="0"/>
          <w:i/>
          <w:sz w:val="19"/>
        </w:rPr>
        <w:t>при применении памятки после даты ее актуализации необходимо проверить действующую редакцию нормативных правовых актов и региональных административных регламентов.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2F0D9"/>
            <w:tcMar>
              <w:top w:w="100" w:type="dxa"/>
              <w:start w:w="140" w:type="dxa"/>
              <w:bottom w:w="100" w:type="dxa"/>
              <w:end w:w="14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color w:val="548235"/>
                <w:sz w:val="21"/>
              </w:rPr>
              <w:t xml:space="preserve">Контроль актуальности: </w:t>
            </w: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перед применением памятки после 1 сентября 2026 г. необходимо проверить вступившие в силу изменения градостроительного законодательства.</w:t>
            </w:r>
          </w:p>
        </w:tc>
      </w:tr>
    </w:tbl>
    <w:p/>
    <w:p>
      <w:pPr>
        <w:spacing w:before="200"/>
        <w:jc w:val="center"/>
      </w:pPr>
      <w:r>
        <w:rPr>
          <w:rFonts w:ascii="Times New Roman" w:hAnsi="Times New Roman" w:eastAsia="Times New Roman"/>
          <w:b w:val="0"/>
          <w:i/>
          <w:color w:val="404040"/>
          <w:sz w:val="19"/>
        </w:rPr>
        <w:t>Материал носит информационный характер и не заменяет индивидуальную правовую консультацию.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850" w:bottom="964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 w:val="0"/>
        <w:color w:val="404040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i w:val="0"/>
        <w:color w:val="1F4E78"/>
        <w:sz w:val="18"/>
      </w:rPr>
      <w:t>АО «Корпорация развития Карачаево-Черкесской Республики»</w:t>
    </w:r>
  </w:p>
  <w:p>
    <w:pPr>
      <w:spacing w:after="0"/>
      <w:jc w:val="center"/>
      <w:pBdr>
        <w:bottom w:val="single" w:sz="4" w:space="1" w:color="A6A6A6"/>
      </w:pBdr>
    </w:pPr>
    <w:r>
      <w:rPr>
        <w:rFonts w:ascii="Times New Roman" w:hAnsi="Times New Roman" w:eastAsia="Times New Roman"/>
        <w:b w:val="0"/>
        <w:i/>
        <w:color w:val="404040"/>
        <w:sz w:val="17"/>
      </w:rPr>
      <w:t>Пункт 62. Ввод объекта в эксплуатацию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4E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04040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0404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4E78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pactBullet">
    <w:name w:val="Compact Bullet"/>
    <w:basedOn w:val="Normal"/>
    <w:pPr>
      <w:spacing w:after="40"/>
      <w:ind w:left="369" w:hanging="198"/>
    </w:pPr>
  </w:style>
  <w:style w:type="paragraph" w:customStyle="1" w:styleId="CompactNumber">
    <w:name w:val="Compact Number"/>
    <w:basedOn w:val="Normal"/>
    <w:pPr>
      <w:spacing w:after="40"/>
      <w:ind w:left="425" w:hanging="283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62. Ввод объекта в эксплуатацию</dc:title>
  <dc:subject>План мероприятий («дорожная карта») по улучшению условий ведения бизнеса на территории Карачаево-Черкесской Республики, утвержденный Указом Главы Карачаево-Черкесской Республики от 6 февраля 2026 г. № 12</dc:subject>
  <dc:creator>АО «Корпорация развития Карачаево-Черкесской Республики»</dc:creator>
  <cp:keywords>КЧР; дорожная карта; бизнес; памятка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